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003A" w14:textId="77777777" w:rsidR="005B3CFB" w:rsidRPr="005B3CFB" w:rsidRDefault="005B3CFB" w:rsidP="00365A8B">
      <w:pPr>
        <w:pStyle w:val="Default"/>
        <w:rPr>
          <w:rFonts w:ascii="Arial" w:hAnsi="Arial" w:cs="Arial"/>
          <w:sz w:val="20"/>
          <w:szCs w:val="20"/>
        </w:rPr>
      </w:pPr>
    </w:p>
    <w:p w14:paraId="58097552" w14:textId="77777777" w:rsidR="004A1A4B" w:rsidRDefault="004A1A4B" w:rsidP="00365A8B">
      <w:pPr>
        <w:pStyle w:val="Default"/>
        <w:rPr>
          <w:rFonts w:ascii="Arial" w:hAnsi="Arial" w:cs="Arial"/>
          <w:sz w:val="20"/>
          <w:szCs w:val="20"/>
        </w:rPr>
        <w:sectPr w:rsidR="004A1A4B" w:rsidSect="00AA7D8E">
          <w:headerReference w:type="default" r:id="rId11"/>
          <w:footerReference w:type="default" r:id="rId12"/>
          <w:pgSz w:w="12240" w:h="15840"/>
          <w:pgMar w:top="2520" w:right="1656" w:bottom="1620" w:left="1656" w:header="907" w:footer="720" w:gutter="0"/>
          <w:cols w:space="720"/>
        </w:sectPr>
      </w:pPr>
    </w:p>
    <w:p w14:paraId="31D6095B" w14:textId="77777777" w:rsidR="00184BEA" w:rsidRDefault="00184BEA" w:rsidP="00365A8B">
      <w:pPr>
        <w:pStyle w:val="Default"/>
        <w:rPr>
          <w:rFonts w:ascii="Arial" w:hAnsi="Arial" w:cs="Arial"/>
          <w:sz w:val="20"/>
          <w:szCs w:val="20"/>
        </w:rPr>
      </w:pPr>
    </w:p>
    <w:p w14:paraId="3F0804CE" w14:textId="604A1E54" w:rsidR="00184BEA" w:rsidRDefault="00184BEA" w:rsidP="00365A8B">
      <w:pPr>
        <w:pStyle w:val="Default"/>
        <w:jc w:val="center"/>
        <w:rPr>
          <w:rFonts w:ascii="Arial" w:hAnsi="Arial" w:cs="Arial"/>
          <w:sz w:val="20"/>
          <w:szCs w:val="20"/>
        </w:rPr>
      </w:pPr>
      <w:r>
        <w:rPr>
          <w:rFonts w:ascii="Arial" w:hAnsi="Arial" w:cs="Arial"/>
          <w:sz w:val="20"/>
          <w:szCs w:val="20"/>
        </w:rPr>
        <w:t xml:space="preserve">Statement for the Record </w:t>
      </w:r>
    </w:p>
    <w:p w14:paraId="13AA2BBC" w14:textId="77777777" w:rsidR="00184BEA" w:rsidRDefault="00184BEA" w:rsidP="00365A8B">
      <w:pPr>
        <w:pStyle w:val="Default"/>
        <w:jc w:val="center"/>
        <w:rPr>
          <w:rFonts w:ascii="Arial" w:hAnsi="Arial" w:cs="Arial"/>
          <w:sz w:val="20"/>
          <w:szCs w:val="20"/>
        </w:rPr>
      </w:pPr>
    </w:p>
    <w:p w14:paraId="6E38B3C3" w14:textId="46603381" w:rsidR="00184BEA" w:rsidRDefault="00184BEA" w:rsidP="00365A8B">
      <w:pPr>
        <w:pStyle w:val="Default"/>
        <w:jc w:val="center"/>
        <w:rPr>
          <w:rFonts w:ascii="Arial" w:hAnsi="Arial" w:cs="Arial"/>
          <w:sz w:val="20"/>
          <w:szCs w:val="20"/>
        </w:rPr>
      </w:pPr>
      <w:r>
        <w:rPr>
          <w:rFonts w:ascii="Arial" w:hAnsi="Arial" w:cs="Arial"/>
          <w:sz w:val="20"/>
          <w:szCs w:val="20"/>
        </w:rPr>
        <w:t>of the</w:t>
      </w:r>
    </w:p>
    <w:p w14:paraId="323BBACF" w14:textId="77777777" w:rsidR="00184BEA" w:rsidRDefault="00184BEA" w:rsidP="00365A8B">
      <w:pPr>
        <w:pStyle w:val="Default"/>
        <w:jc w:val="center"/>
        <w:rPr>
          <w:rFonts w:ascii="Arial" w:hAnsi="Arial" w:cs="Arial"/>
          <w:sz w:val="20"/>
          <w:szCs w:val="20"/>
        </w:rPr>
      </w:pPr>
    </w:p>
    <w:p w14:paraId="2A2B5336" w14:textId="1876FA27" w:rsidR="00184BEA" w:rsidRDefault="00184BEA" w:rsidP="00365A8B">
      <w:pPr>
        <w:pStyle w:val="Default"/>
        <w:jc w:val="center"/>
        <w:rPr>
          <w:rFonts w:ascii="Arial" w:hAnsi="Arial" w:cs="Arial"/>
          <w:sz w:val="20"/>
          <w:szCs w:val="20"/>
        </w:rPr>
      </w:pPr>
      <w:r>
        <w:rPr>
          <w:rFonts w:ascii="Arial" w:hAnsi="Arial" w:cs="Arial"/>
          <w:sz w:val="20"/>
          <w:szCs w:val="20"/>
        </w:rPr>
        <w:t xml:space="preserve">College of American Pathologists </w:t>
      </w:r>
    </w:p>
    <w:p w14:paraId="0616DFA7" w14:textId="77777777" w:rsidR="00184BEA" w:rsidRDefault="00184BEA" w:rsidP="00365A8B">
      <w:pPr>
        <w:pStyle w:val="Default"/>
        <w:jc w:val="center"/>
        <w:rPr>
          <w:rFonts w:ascii="Arial" w:hAnsi="Arial" w:cs="Arial"/>
          <w:sz w:val="20"/>
          <w:szCs w:val="20"/>
        </w:rPr>
      </w:pPr>
    </w:p>
    <w:p w14:paraId="1F39EC40" w14:textId="17F02B14" w:rsidR="00184BEA" w:rsidRDefault="00184BEA" w:rsidP="00365A8B">
      <w:pPr>
        <w:pStyle w:val="Default"/>
        <w:jc w:val="center"/>
        <w:rPr>
          <w:rFonts w:ascii="Arial" w:hAnsi="Arial" w:cs="Arial"/>
          <w:sz w:val="20"/>
          <w:szCs w:val="20"/>
        </w:rPr>
      </w:pPr>
      <w:r>
        <w:rPr>
          <w:rFonts w:ascii="Arial" w:hAnsi="Arial" w:cs="Arial"/>
          <w:sz w:val="20"/>
          <w:szCs w:val="20"/>
        </w:rPr>
        <w:t xml:space="preserve">United States Senate Finance Committee </w:t>
      </w:r>
    </w:p>
    <w:p w14:paraId="76DB7DB3" w14:textId="77777777" w:rsidR="00184BEA" w:rsidRDefault="00184BEA" w:rsidP="00365A8B">
      <w:pPr>
        <w:pStyle w:val="Default"/>
        <w:jc w:val="center"/>
        <w:rPr>
          <w:rFonts w:ascii="Arial" w:hAnsi="Arial" w:cs="Arial"/>
          <w:sz w:val="20"/>
          <w:szCs w:val="20"/>
        </w:rPr>
      </w:pPr>
    </w:p>
    <w:p w14:paraId="7F081D02" w14:textId="795B0CA3" w:rsidR="00184BEA" w:rsidRDefault="00184BEA" w:rsidP="00365A8B">
      <w:pPr>
        <w:pStyle w:val="Default"/>
        <w:jc w:val="center"/>
        <w:rPr>
          <w:rFonts w:ascii="Arial" w:hAnsi="Arial" w:cs="Arial"/>
          <w:sz w:val="20"/>
          <w:szCs w:val="20"/>
        </w:rPr>
      </w:pPr>
      <w:r>
        <w:rPr>
          <w:rFonts w:ascii="Arial" w:hAnsi="Arial" w:cs="Arial"/>
          <w:sz w:val="20"/>
          <w:szCs w:val="20"/>
        </w:rPr>
        <w:t xml:space="preserve">Re: </w:t>
      </w:r>
      <w:r w:rsidRPr="00184BEA">
        <w:rPr>
          <w:rFonts w:ascii="Arial" w:hAnsi="Arial" w:cs="Arial"/>
          <w:sz w:val="20"/>
          <w:szCs w:val="20"/>
        </w:rPr>
        <w:t>Bolstering Chronic Care through Medicare Physician Payment</w:t>
      </w:r>
    </w:p>
    <w:p w14:paraId="79B4C59E" w14:textId="77777777" w:rsidR="00184BEA" w:rsidRDefault="00184BEA" w:rsidP="00365A8B">
      <w:pPr>
        <w:pStyle w:val="Default"/>
        <w:jc w:val="center"/>
        <w:rPr>
          <w:rFonts w:ascii="Arial" w:hAnsi="Arial" w:cs="Arial"/>
          <w:sz w:val="20"/>
          <w:szCs w:val="20"/>
        </w:rPr>
      </w:pPr>
    </w:p>
    <w:p w14:paraId="744EE380" w14:textId="77777777" w:rsidR="0071367B" w:rsidRDefault="0071367B" w:rsidP="00365A8B">
      <w:pPr>
        <w:pStyle w:val="Default"/>
        <w:rPr>
          <w:rFonts w:ascii="Arial" w:hAnsi="Arial" w:cs="Arial"/>
          <w:sz w:val="20"/>
          <w:szCs w:val="20"/>
        </w:rPr>
      </w:pPr>
    </w:p>
    <w:p w14:paraId="2764F109" w14:textId="77777777" w:rsidR="0071367B" w:rsidRDefault="0071367B" w:rsidP="00365A8B">
      <w:pPr>
        <w:pStyle w:val="Default"/>
        <w:rPr>
          <w:rFonts w:ascii="Arial" w:hAnsi="Arial" w:cs="Arial"/>
          <w:sz w:val="20"/>
          <w:szCs w:val="20"/>
        </w:rPr>
      </w:pPr>
    </w:p>
    <w:p w14:paraId="68BB094F" w14:textId="2FB883E3" w:rsidR="00184BEA" w:rsidRDefault="00184BEA" w:rsidP="00365A8B">
      <w:pPr>
        <w:pStyle w:val="Default"/>
        <w:rPr>
          <w:rFonts w:ascii="Arial" w:hAnsi="Arial" w:cs="Arial"/>
          <w:sz w:val="20"/>
          <w:szCs w:val="20"/>
        </w:rPr>
      </w:pPr>
      <w:r>
        <w:rPr>
          <w:rFonts w:ascii="Arial" w:hAnsi="Arial" w:cs="Arial"/>
          <w:sz w:val="20"/>
          <w:szCs w:val="20"/>
        </w:rPr>
        <w:t>April 2</w:t>
      </w:r>
      <w:r w:rsidR="002958F9">
        <w:rPr>
          <w:rFonts w:ascii="Arial" w:hAnsi="Arial" w:cs="Arial"/>
          <w:sz w:val="20"/>
          <w:szCs w:val="20"/>
        </w:rPr>
        <w:t>4</w:t>
      </w:r>
      <w:r>
        <w:rPr>
          <w:rFonts w:ascii="Arial" w:hAnsi="Arial" w:cs="Arial"/>
          <w:sz w:val="20"/>
          <w:szCs w:val="20"/>
        </w:rPr>
        <w:t>, 2024</w:t>
      </w:r>
    </w:p>
    <w:p w14:paraId="5A7E0731" w14:textId="77777777" w:rsidR="00184BEA" w:rsidRDefault="00184BEA" w:rsidP="00365A8B">
      <w:pPr>
        <w:pStyle w:val="Default"/>
        <w:rPr>
          <w:rFonts w:ascii="Arial" w:hAnsi="Arial" w:cs="Arial"/>
          <w:sz w:val="20"/>
          <w:szCs w:val="20"/>
        </w:rPr>
      </w:pPr>
    </w:p>
    <w:p w14:paraId="7A3E968E" w14:textId="77777777" w:rsidR="00184BEA" w:rsidRDefault="00184BEA" w:rsidP="00365A8B">
      <w:pPr>
        <w:pStyle w:val="Default"/>
        <w:rPr>
          <w:rFonts w:ascii="Arial" w:hAnsi="Arial" w:cs="Arial"/>
          <w:sz w:val="20"/>
          <w:szCs w:val="20"/>
        </w:rPr>
      </w:pPr>
    </w:p>
    <w:p w14:paraId="1D332C19" w14:textId="77777777" w:rsidR="00184BEA" w:rsidRDefault="00184BEA" w:rsidP="00365A8B">
      <w:pPr>
        <w:pStyle w:val="Default"/>
        <w:rPr>
          <w:rFonts w:ascii="Arial" w:hAnsi="Arial" w:cs="Arial"/>
          <w:sz w:val="20"/>
          <w:szCs w:val="20"/>
        </w:rPr>
        <w:sectPr w:rsidR="00184BEA" w:rsidSect="00AA7D8E">
          <w:type w:val="continuous"/>
          <w:pgSz w:w="12240" w:h="15840"/>
          <w:pgMar w:top="2520" w:right="1656" w:bottom="1620" w:left="1656" w:header="907" w:footer="720" w:gutter="0"/>
          <w:cols w:space="720"/>
        </w:sectPr>
      </w:pPr>
    </w:p>
    <w:p w14:paraId="3CD70491" w14:textId="713ADD09" w:rsidR="005B3CFB" w:rsidRDefault="00484938" w:rsidP="00365A8B">
      <w:pPr>
        <w:pStyle w:val="Default"/>
        <w:rPr>
          <w:rFonts w:ascii="Arial" w:hAnsi="Arial" w:cs="Arial"/>
          <w:sz w:val="20"/>
          <w:szCs w:val="20"/>
        </w:rPr>
      </w:pPr>
      <w:r>
        <w:rPr>
          <w:rFonts w:ascii="Arial" w:hAnsi="Arial" w:cs="Arial"/>
          <w:sz w:val="20"/>
          <w:szCs w:val="20"/>
        </w:rPr>
        <w:t>Chairman Ron Wyden</w:t>
      </w:r>
    </w:p>
    <w:p w14:paraId="6167BEAE" w14:textId="13D419B4" w:rsidR="004A1A4B" w:rsidRDefault="00352651" w:rsidP="00365A8B">
      <w:pPr>
        <w:pStyle w:val="Default"/>
        <w:rPr>
          <w:rFonts w:ascii="Arial" w:hAnsi="Arial" w:cs="Arial"/>
          <w:sz w:val="20"/>
          <w:szCs w:val="20"/>
        </w:rPr>
      </w:pPr>
      <w:bookmarkStart w:id="0" w:name="_Hlk116992639"/>
      <w:r>
        <w:rPr>
          <w:rFonts w:ascii="Arial" w:hAnsi="Arial" w:cs="Arial"/>
          <w:sz w:val="20"/>
          <w:szCs w:val="20"/>
        </w:rPr>
        <w:t>Senate Finance Committee</w:t>
      </w:r>
    </w:p>
    <w:p w14:paraId="2D33B2DD" w14:textId="5CB4E842" w:rsidR="004A1A4B" w:rsidRDefault="004A1A4B" w:rsidP="00365A8B">
      <w:pPr>
        <w:pStyle w:val="Default"/>
        <w:rPr>
          <w:rFonts w:ascii="Arial" w:hAnsi="Arial" w:cs="Arial"/>
          <w:sz w:val="20"/>
          <w:szCs w:val="20"/>
        </w:rPr>
      </w:pPr>
      <w:r>
        <w:rPr>
          <w:rFonts w:ascii="Arial" w:hAnsi="Arial" w:cs="Arial"/>
          <w:sz w:val="20"/>
          <w:szCs w:val="20"/>
        </w:rPr>
        <w:t>Washington, DC 2051</w:t>
      </w:r>
      <w:r w:rsidR="00352651">
        <w:rPr>
          <w:rFonts w:ascii="Arial" w:hAnsi="Arial" w:cs="Arial"/>
          <w:sz w:val="20"/>
          <w:szCs w:val="20"/>
        </w:rPr>
        <w:t>0</w:t>
      </w:r>
    </w:p>
    <w:bookmarkEnd w:id="0"/>
    <w:p w14:paraId="492F3448" w14:textId="77777777" w:rsidR="004A1A4B" w:rsidRPr="005B3CFB" w:rsidRDefault="004A1A4B" w:rsidP="00365A8B">
      <w:pPr>
        <w:pStyle w:val="Default"/>
        <w:rPr>
          <w:rFonts w:ascii="Arial" w:hAnsi="Arial" w:cs="Arial"/>
          <w:sz w:val="20"/>
          <w:szCs w:val="20"/>
        </w:rPr>
      </w:pPr>
    </w:p>
    <w:p w14:paraId="21C5E688" w14:textId="31AB0070" w:rsidR="005B3CFB" w:rsidRDefault="00352651" w:rsidP="00365A8B">
      <w:pPr>
        <w:pStyle w:val="Default"/>
        <w:rPr>
          <w:rFonts w:ascii="Arial" w:hAnsi="Arial" w:cs="Arial"/>
          <w:sz w:val="20"/>
          <w:szCs w:val="20"/>
        </w:rPr>
      </w:pPr>
      <w:r>
        <w:rPr>
          <w:rFonts w:ascii="Arial" w:hAnsi="Arial" w:cs="Arial"/>
          <w:sz w:val="20"/>
          <w:szCs w:val="20"/>
        </w:rPr>
        <w:t>Ranking Member Mike Crapo</w:t>
      </w:r>
    </w:p>
    <w:p w14:paraId="48021F47" w14:textId="254AC1F8" w:rsidR="004A1A4B" w:rsidRDefault="00352651" w:rsidP="00365A8B">
      <w:pPr>
        <w:pStyle w:val="Default"/>
        <w:rPr>
          <w:rFonts w:ascii="Arial" w:hAnsi="Arial" w:cs="Arial"/>
          <w:sz w:val="20"/>
          <w:szCs w:val="20"/>
        </w:rPr>
      </w:pPr>
      <w:r>
        <w:rPr>
          <w:rFonts w:ascii="Arial" w:hAnsi="Arial" w:cs="Arial"/>
          <w:sz w:val="20"/>
          <w:szCs w:val="20"/>
        </w:rPr>
        <w:t xml:space="preserve">Senate Finance Committee </w:t>
      </w:r>
    </w:p>
    <w:p w14:paraId="26B36EDA" w14:textId="45DA1D0F" w:rsidR="004A1A4B" w:rsidRDefault="004A1A4B" w:rsidP="00365A8B">
      <w:pPr>
        <w:pStyle w:val="Default"/>
        <w:rPr>
          <w:rFonts w:ascii="Arial" w:hAnsi="Arial" w:cs="Arial"/>
          <w:sz w:val="20"/>
          <w:szCs w:val="20"/>
        </w:rPr>
      </w:pPr>
      <w:r w:rsidRPr="004A1A4B">
        <w:rPr>
          <w:rFonts w:ascii="Arial" w:hAnsi="Arial" w:cs="Arial"/>
          <w:sz w:val="20"/>
          <w:szCs w:val="20"/>
        </w:rPr>
        <w:t>Washington, DC 2051</w:t>
      </w:r>
      <w:r w:rsidR="00352651">
        <w:rPr>
          <w:rFonts w:ascii="Arial" w:hAnsi="Arial" w:cs="Arial"/>
          <w:sz w:val="20"/>
          <w:szCs w:val="20"/>
        </w:rPr>
        <w:t>0</w:t>
      </w:r>
    </w:p>
    <w:p w14:paraId="6D80F4CD" w14:textId="77777777" w:rsidR="00184BEA" w:rsidRDefault="00184BEA" w:rsidP="00365A8B">
      <w:pPr>
        <w:pStyle w:val="Default"/>
        <w:rPr>
          <w:rFonts w:ascii="Arial" w:hAnsi="Arial" w:cs="Arial"/>
          <w:sz w:val="20"/>
          <w:szCs w:val="20"/>
        </w:rPr>
        <w:sectPr w:rsidR="00184BEA" w:rsidSect="00AA7D8E">
          <w:type w:val="continuous"/>
          <w:pgSz w:w="12240" w:h="15840"/>
          <w:pgMar w:top="2520" w:right="1656" w:bottom="1620" w:left="1656" w:header="907" w:footer="720" w:gutter="0"/>
          <w:cols w:num="2" w:space="720"/>
        </w:sectPr>
      </w:pPr>
    </w:p>
    <w:p w14:paraId="738239CA" w14:textId="77777777" w:rsidR="004A1A4B" w:rsidRPr="005B3CFB" w:rsidRDefault="004A1A4B" w:rsidP="00365A8B">
      <w:pPr>
        <w:pStyle w:val="Default"/>
        <w:rPr>
          <w:rFonts w:ascii="Arial" w:hAnsi="Arial" w:cs="Arial"/>
          <w:sz w:val="20"/>
          <w:szCs w:val="20"/>
        </w:rPr>
      </w:pPr>
    </w:p>
    <w:p w14:paraId="7DE6A18D" w14:textId="77777777" w:rsidR="004A1A4B" w:rsidRDefault="004A1A4B" w:rsidP="00365A8B">
      <w:pPr>
        <w:spacing w:line="276" w:lineRule="auto"/>
        <w:rPr>
          <w:rFonts w:ascii="Arial" w:hAnsi="Arial" w:cs="Arial"/>
          <w:color w:val="1155CD"/>
          <w:szCs w:val="20"/>
        </w:rPr>
        <w:sectPr w:rsidR="004A1A4B" w:rsidSect="00AA7D8E">
          <w:type w:val="continuous"/>
          <w:pgSz w:w="12240" w:h="15840"/>
          <w:pgMar w:top="2520" w:right="1656" w:bottom="1620" w:left="1656" w:header="907" w:footer="720" w:gutter="0"/>
          <w:cols w:num="2" w:space="720"/>
        </w:sectPr>
      </w:pPr>
    </w:p>
    <w:p w14:paraId="549B8F5E" w14:textId="36E87DB8" w:rsidR="005B3CFB" w:rsidRPr="005B3CFB" w:rsidRDefault="00352651" w:rsidP="00365A8B">
      <w:pPr>
        <w:pStyle w:val="Default"/>
        <w:rPr>
          <w:rFonts w:ascii="Arial" w:hAnsi="Arial" w:cs="Arial"/>
          <w:sz w:val="20"/>
          <w:szCs w:val="20"/>
        </w:rPr>
      </w:pPr>
      <w:r>
        <w:rPr>
          <w:rFonts w:ascii="Arial" w:hAnsi="Arial" w:cs="Arial"/>
          <w:sz w:val="20"/>
          <w:szCs w:val="20"/>
        </w:rPr>
        <w:t xml:space="preserve">Dear Chairman Wyden and Ranking Member Crapo: </w:t>
      </w:r>
    </w:p>
    <w:p w14:paraId="6ED7FAE3" w14:textId="77777777" w:rsidR="005B3CFB" w:rsidRPr="005B3CFB" w:rsidRDefault="005B3CFB" w:rsidP="00365A8B">
      <w:pPr>
        <w:pStyle w:val="Default"/>
        <w:rPr>
          <w:rFonts w:ascii="Arial" w:hAnsi="Arial" w:cs="Arial"/>
          <w:sz w:val="20"/>
          <w:szCs w:val="20"/>
        </w:rPr>
      </w:pPr>
    </w:p>
    <w:p w14:paraId="37B3F6A3" w14:textId="73B6C0FE" w:rsidR="00352651" w:rsidRDefault="00184BEA" w:rsidP="00365A8B">
      <w:pPr>
        <w:pStyle w:val="Default"/>
        <w:rPr>
          <w:rFonts w:ascii="Arial" w:hAnsi="Arial" w:cs="Arial"/>
          <w:color w:val="000000" w:themeColor="text1"/>
          <w:sz w:val="20"/>
          <w:szCs w:val="20"/>
        </w:rPr>
      </w:pPr>
      <w:r w:rsidRPr="00B66093">
        <w:rPr>
          <w:rFonts w:ascii="Arial" w:hAnsi="Arial" w:cs="Arial"/>
          <w:color w:val="000000" w:themeColor="text1"/>
          <w:sz w:val="20"/>
          <w:szCs w:val="20"/>
        </w:rPr>
        <w:t xml:space="preserve">The College of American Pathologists (CAP) appreciates the opportunity to share our views </w:t>
      </w:r>
      <w:r w:rsidR="00B66093" w:rsidRPr="00B66093">
        <w:rPr>
          <w:rFonts w:ascii="Arial" w:hAnsi="Arial" w:cs="Arial"/>
          <w:color w:val="000000" w:themeColor="text1"/>
          <w:sz w:val="20"/>
          <w:szCs w:val="20"/>
        </w:rPr>
        <w:t>with</w:t>
      </w:r>
      <w:r w:rsidRPr="00B66093">
        <w:rPr>
          <w:rFonts w:ascii="Arial" w:hAnsi="Arial" w:cs="Arial"/>
          <w:color w:val="000000" w:themeColor="text1"/>
          <w:sz w:val="20"/>
          <w:szCs w:val="20"/>
        </w:rPr>
        <w:t xml:space="preserve"> the Senate Finance Committee </w:t>
      </w:r>
      <w:r w:rsidR="00B66093">
        <w:rPr>
          <w:rFonts w:ascii="Arial" w:hAnsi="Arial" w:cs="Arial"/>
          <w:color w:val="000000" w:themeColor="text1"/>
          <w:sz w:val="20"/>
          <w:szCs w:val="20"/>
        </w:rPr>
        <w:t>regarding</w:t>
      </w:r>
      <w:r w:rsidRPr="00B66093">
        <w:rPr>
          <w:rFonts w:ascii="Arial" w:hAnsi="Arial" w:cs="Arial"/>
          <w:color w:val="000000" w:themeColor="text1"/>
          <w:sz w:val="20"/>
          <w:szCs w:val="20"/>
        </w:rPr>
        <w:t xml:space="preserve"> chronic care and the Medicare Physician Payment System.</w:t>
      </w:r>
      <w:r>
        <w:rPr>
          <w:rFonts w:ascii="Arial" w:hAnsi="Arial" w:cs="Arial"/>
          <w:color w:val="000000" w:themeColor="text1"/>
          <w:sz w:val="20"/>
          <w:szCs w:val="20"/>
        </w:rPr>
        <w:t xml:space="preserve"> </w:t>
      </w:r>
      <w:r w:rsidRPr="00184BEA">
        <w:rPr>
          <w:rFonts w:ascii="Arial" w:hAnsi="Arial" w:cs="Arial"/>
          <w:color w:val="000000" w:themeColor="text1"/>
          <w:sz w:val="20"/>
          <w:szCs w:val="20"/>
        </w:rPr>
        <w:t>As the world's largest organization of board-certified pathologists and leading provider of laboratory accreditation and proficiency testing programs, the College of American Pathologists (CAP) serves patients, pathologists, and the public by fostering and advocating excellence in the practice of pathology and laboratory medicine worldwide</w:t>
      </w:r>
      <w:r>
        <w:rPr>
          <w:rFonts w:ascii="Arial" w:hAnsi="Arial" w:cs="Arial"/>
          <w:color w:val="000000" w:themeColor="text1"/>
          <w:sz w:val="20"/>
          <w:szCs w:val="20"/>
        </w:rPr>
        <w:t>.</w:t>
      </w:r>
    </w:p>
    <w:p w14:paraId="2872A645" w14:textId="77777777" w:rsidR="00184BEA" w:rsidRDefault="00184BEA" w:rsidP="00365A8B">
      <w:pPr>
        <w:pStyle w:val="Default"/>
        <w:rPr>
          <w:rFonts w:ascii="Arial" w:hAnsi="Arial" w:cs="Arial"/>
          <w:color w:val="000000" w:themeColor="text1"/>
          <w:sz w:val="20"/>
          <w:szCs w:val="20"/>
        </w:rPr>
      </w:pPr>
    </w:p>
    <w:p w14:paraId="3881C12E" w14:textId="7D4DF05A" w:rsidR="00303E76" w:rsidRDefault="00184BEA" w:rsidP="00365A8B">
      <w:pPr>
        <w:pStyle w:val="Default"/>
        <w:rPr>
          <w:rFonts w:ascii="Arial" w:hAnsi="Arial" w:cs="Arial"/>
          <w:color w:val="000000" w:themeColor="text1"/>
          <w:sz w:val="20"/>
          <w:szCs w:val="20"/>
        </w:rPr>
      </w:pPr>
      <w:r>
        <w:rPr>
          <w:rFonts w:ascii="Arial" w:hAnsi="Arial" w:cs="Arial"/>
          <w:color w:val="000000" w:themeColor="text1"/>
          <w:sz w:val="20"/>
          <w:szCs w:val="20"/>
        </w:rPr>
        <w:t>As you are aware, p</w:t>
      </w:r>
      <w:r w:rsidRPr="00E2375C">
        <w:rPr>
          <w:rFonts w:ascii="Arial" w:hAnsi="Arial" w:cs="Arial"/>
          <w:color w:val="000000" w:themeColor="text1"/>
          <w:sz w:val="20"/>
          <w:szCs w:val="20"/>
        </w:rPr>
        <w:t xml:space="preserve">athologists are physicians who specialize in the diagnosis of disease. </w:t>
      </w:r>
      <w:r w:rsidR="00CF0E61" w:rsidRPr="00CF0E61">
        <w:rPr>
          <w:rFonts w:ascii="Arial" w:hAnsi="Arial" w:cs="Arial"/>
          <w:color w:val="000000" w:themeColor="text1"/>
          <w:sz w:val="20"/>
          <w:szCs w:val="20"/>
        </w:rPr>
        <w:t xml:space="preserve">On any given day, pathologists impact nearly all aspects of patient care, from diagnosing cancer to </w:t>
      </w:r>
      <w:r w:rsidR="00CF0E61" w:rsidRPr="00B66093">
        <w:rPr>
          <w:rFonts w:ascii="Arial" w:hAnsi="Arial" w:cs="Arial"/>
          <w:color w:val="000000" w:themeColor="text1"/>
          <w:sz w:val="20"/>
          <w:szCs w:val="20"/>
        </w:rPr>
        <w:t>managing chronic diseases</w:t>
      </w:r>
      <w:r w:rsidR="00CF0E61" w:rsidRPr="00CF0E61">
        <w:rPr>
          <w:rFonts w:ascii="Arial" w:hAnsi="Arial" w:cs="Arial"/>
          <w:color w:val="000000" w:themeColor="text1"/>
          <w:sz w:val="20"/>
          <w:szCs w:val="20"/>
        </w:rPr>
        <w:t xml:space="preserve"> such as diabetes through accurate laboratory testing.</w:t>
      </w:r>
      <w:r w:rsidR="00CF0E61">
        <w:rPr>
          <w:rFonts w:ascii="Arial" w:hAnsi="Arial" w:cs="Arial"/>
          <w:color w:val="000000" w:themeColor="text1"/>
          <w:sz w:val="20"/>
          <w:szCs w:val="20"/>
        </w:rPr>
        <w:t xml:space="preserve"> </w:t>
      </w:r>
      <w:r w:rsidR="00CF0E61" w:rsidRPr="00CF0E61">
        <w:rPr>
          <w:rFonts w:ascii="Arial" w:hAnsi="Arial" w:cs="Arial"/>
          <w:color w:val="000000" w:themeColor="text1"/>
          <w:sz w:val="20"/>
          <w:szCs w:val="20"/>
        </w:rPr>
        <w:t>Often, they guide primary care and other doctors, determining the right test, at the right time, for the right patient.</w:t>
      </w:r>
      <w:r w:rsidR="00CF0E61">
        <w:rPr>
          <w:rFonts w:ascii="Arial" w:hAnsi="Arial" w:cs="Arial"/>
          <w:color w:val="000000" w:themeColor="text1"/>
          <w:sz w:val="20"/>
          <w:szCs w:val="20"/>
        </w:rPr>
        <w:t xml:space="preserve"> P</w:t>
      </w:r>
      <w:r w:rsidRPr="00E2375C">
        <w:rPr>
          <w:rFonts w:ascii="Arial" w:hAnsi="Arial" w:cs="Arial"/>
          <w:color w:val="000000" w:themeColor="text1"/>
          <w:sz w:val="20"/>
          <w:szCs w:val="20"/>
        </w:rPr>
        <w:t xml:space="preserve">athologists in hospitals and independent laboratories around the country are </w:t>
      </w:r>
      <w:r w:rsidR="00CF0E61">
        <w:rPr>
          <w:rFonts w:ascii="Arial" w:hAnsi="Arial" w:cs="Arial"/>
          <w:color w:val="000000" w:themeColor="text1"/>
          <w:sz w:val="20"/>
          <w:szCs w:val="20"/>
        </w:rPr>
        <w:t xml:space="preserve">also </w:t>
      </w:r>
      <w:r w:rsidRPr="00E2375C">
        <w:rPr>
          <w:rFonts w:ascii="Arial" w:hAnsi="Arial" w:cs="Arial"/>
          <w:color w:val="000000" w:themeColor="text1"/>
          <w:sz w:val="20"/>
          <w:szCs w:val="20"/>
        </w:rPr>
        <w:t xml:space="preserve">responsible for developing and/or selecting new test methodologies, validating, and approving testing for patient use, and expanding the testing capabilities of the communities they serve to meet emergent needs. Pathologists assure compliance with laboratory regulatory and accreditation standards, while preventing overuse or improper application of tests. </w:t>
      </w:r>
      <w:r w:rsidR="00CF0E61" w:rsidRPr="00CF0E61">
        <w:rPr>
          <w:rFonts w:ascii="Arial" w:hAnsi="Arial" w:cs="Arial"/>
          <w:color w:val="000000" w:themeColor="text1"/>
          <w:sz w:val="20"/>
          <w:szCs w:val="20"/>
        </w:rPr>
        <w:t>Although patients may never meet the pathologist on their care team, they can be assured that these experts deliver quality and care at every step.</w:t>
      </w:r>
      <w:r w:rsidR="00CF0E61">
        <w:rPr>
          <w:rFonts w:ascii="Arial" w:hAnsi="Arial" w:cs="Arial"/>
          <w:color w:val="000000" w:themeColor="text1"/>
          <w:sz w:val="20"/>
          <w:szCs w:val="20"/>
        </w:rPr>
        <w:t xml:space="preserve"> Indeed, </w:t>
      </w:r>
      <w:r w:rsidR="00CF0E61" w:rsidRPr="00E2375C">
        <w:rPr>
          <w:rFonts w:ascii="Arial" w:hAnsi="Arial" w:cs="Arial"/>
          <w:color w:val="000000" w:themeColor="text1"/>
          <w:sz w:val="20"/>
          <w:szCs w:val="20"/>
        </w:rPr>
        <w:t>the</w:t>
      </w:r>
      <w:r w:rsidRPr="00E2375C">
        <w:rPr>
          <w:rFonts w:ascii="Arial" w:hAnsi="Arial" w:cs="Arial"/>
          <w:color w:val="000000" w:themeColor="text1"/>
          <w:sz w:val="20"/>
          <w:szCs w:val="20"/>
        </w:rPr>
        <w:t xml:space="preserve"> influence of pathology services on clinical decision-making is pervasive and constitutes a critical infrastructure and foundation of appropriate care.</w:t>
      </w:r>
    </w:p>
    <w:p w14:paraId="11E837BE" w14:textId="77777777" w:rsidR="00644E41" w:rsidRDefault="00644E41" w:rsidP="00365A8B">
      <w:pPr>
        <w:pStyle w:val="Default"/>
        <w:rPr>
          <w:rFonts w:ascii="Arial" w:hAnsi="Arial" w:cs="Arial"/>
          <w:color w:val="000000" w:themeColor="text1"/>
          <w:sz w:val="20"/>
          <w:szCs w:val="20"/>
        </w:rPr>
      </w:pPr>
    </w:p>
    <w:p w14:paraId="5F2F1212" w14:textId="329B5B92" w:rsidR="00303E76" w:rsidRPr="005B3CFB" w:rsidRDefault="00303E76" w:rsidP="00365A8B">
      <w:pPr>
        <w:pStyle w:val="Default"/>
        <w:rPr>
          <w:rFonts w:ascii="Arial" w:hAnsi="Arial" w:cs="Arial"/>
          <w:color w:val="000000" w:themeColor="text1"/>
          <w:sz w:val="20"/>
          <w:szCs w:val="20"/>
        </w:rPr>
      </w:pPr>
      <w:r w:rsidRPr="00B66093">
        <w:rPr>
          <w:rFonts w:ascii="Arial" w:hAnsi="Arial" w:cs="Arial"/>
          <w:color w:val="000000" w:themeColor="text1"/>
          <w:sz w:val="20"/>
          <w:szCs w:val="20"/>
        </w:rPr>
        <w:lastRenderedPageBreak/>
        <w:t>T</w:t>
      </w:r>
      <w:r w:rsidR="00644E41" w:rsidRPr="00B66093">
        <w:rPr>
          <w:rFonts w:ascii="Arial" w:hAnsi="Arial" w:cs="Arial"/>
          <w:color w:val="000000" w:themeColor="text1"/>
          <w:sz w:val="20"/>
          <w:szCs w:val="20"/>
        </w:rPr>
        <w:t>o help bolster the provision of chronic care services, t</w:t>
      </w:r>
      <w:r w:rsidRPr="00B66093">
        <w:rPr>
          <w:rFonts w:ascii="Arial" w:hAnsi="Arial" w:cs="Arial"/>
          <w:color w:val="000000" w:themeColor="text1"/>
          <w:sz w:val="20"/>
          <w:szCs w:val="20"/>
        </w:rPr>
        <w:t>he CAP</w:t>
      </w:r>
      <w:r w:rsidR="00644E41" w:rsidRPr="00B66093">
        <w:rPr>
          <w:rFonts w:ascii="Arial" w:hAnsi="Arial" w:cs="Arial"/>
          <w:color w:val="000000" w:themeColor="text1"/>
          <w:sz w:val="20"/>
          <w:szCs w:val="20"/>
        </w:rPr>
        <w:t xml:space="preserve"> recommends</w:t>
      </w:r>
      <w:r w:rsidRPr="00B66093">
        <w:rPr>
          <w:rFonts w:ascii="Arial" w:hAnsi="Arial" w:cs="Arial"/>
          <w:color w:val="000000" w:themeColor="text1"/>
          <w:sz w:val="20"/>
          <w:szCs w:val="20"/>
        </w:rPr>
        <w:t xml:space="preserve"> </w:t>
      </w:r>
      <w:r w:rsidR="00CC312C" w:rsidRPr="00B66093">
        <w:rPr>
          <w:rFonts w:ascii="Arial" w:hAnsi="Arial" w:cs="Arial"/>
          <w:color w:val="000000" w:themeColor="text1"/>
          <w:sz w:val="20"/>
          <w:szCs w:val="20"/>
        </w:rPr>
        <w:t>Congress work</w:t>
      </w:r>
      <w:r w:rsidRPr="00B66093">
        <w:rPr>
          <w:rFonts w:ascii="Arial" w:hAnsi="Arial" w:cs="Arial"/>
          <w:color w:val="000000" w:themeColor="text1"/>
          <w:sz w:val="20"/>
          <w:szCs w:val="20"/>
        </w:rPr>
        <w:t xml:space="preserve"> to stabilize the physician payment system, grow the </w:t>
      </w:r>
      <w:r w:rsidR="00CC312C" w:rsidRPr="00B66093">
        <w:rPr>
          <w:rFonts w:ascii="Arial" w:hAnsi="Arial" w:cs="Arial"/>
          <w:color w:val="000000" w:themeColor="text1"/>
          <w:sz w:val="20"/>
          <w:szCs w:val="20"/>
        </w:rPr>
        <w:t xml:space="preserve">health care </w:t>
      </w:r>
      <w:r w:rsidRPr="00B66093">
        <w:rPr>
          <w:rFonts w:ascii="Arial" w:hAnsi="Arial" w:cs="Arial"/>
          <w:color w:val="000000" w:themeColor="text1"/>
          <w:sz w:val="20"/>
          <w:szCs w:val="20"/>
        </w:rPr>
        <w:t xml:space="preserve">workforce, </w:t>
      </w:r>
      <w:r w:rsidR="00CC312C" w:rsidRPr="00B66093">
        <w:rPr>
          <w:rFonts w:ascii="Arial" w:hAnsi="Arial" w:cs="Arial"/>
          <w:color w:val="000000" w:themeColor="text1"/>
          <w:sz w:val="20"/>
          <w:szCs w:val="20"/>
        </w:rPr>
        <w:t>increase oversight of</w:t>
      </w:r>
      <w:r w:rsidR="00F64858" w:rsidRPr="00B66093">
        <w:rPr>
          <w:rFonts w:ascii="Arial" w:hAnsi="Arial" w:cs="Arial"/>
          <w:color w:val="000000" w:themeColor="text1"/>
          <w:sz w:val="20"/>
          <w:szCs w:val="20"/>
        </w:rPr>
        <w:t xml:space="preserve"> insurer-imposed policies </w:t>
      </w:r>
      <w:r w:rsidR="00CC312C" w:rsidRPr="00B66093">
        <w:rPr>
          <w:rFonts w:ascii="Arial" w:hAnsi="Arial" w:cs="Arial"/>
          <w:color w:val="000000" w:themeColor="text1"/>
          <w:sz w:val="20"/>
          <w:szCs w:val="20"/>
        </w:rPr>
        <w:t xml:space="preserve">that impact patient care, and </w:t>
      </w:r>
      <w:r w:rsidR="00287DEC" w:rsidRPr="00B66093">
        <w:rPr>
          <w:rFonts w:ascii="Arial" w:hAnsi="Arial" w:cs="Arial"/>
          <w:color w:val="000000" w:themeColor="text1"/>
          <w:sz w:val="20"/>
          <w:szCs w:val="20"/>
        </w:rPr>
        <w:t>look at meaningful sources of health spending</w:t>
      </w:r>
      <w:r w:rsidR="00F64858" w:rsidRPr="00B66093">
        <w:rPr>
          <w:rFonts w:ascii="Arial" w:hAnsi="Arial" w:cs="Arial"/>
          <w:color w:val="000000" w:themeColor="text1"/>
          <w:sz w:val="20"/>
          <w:szCs w:val="20"/>
        </w:rPr>
        <w:t>.</w:t>
      </w:r>
      <w:r w:rsidR="00365A8B">
        <w:rPr>
          <w:rFonts w:ascii="Arial" w:hAnsi="Arial" w:cs="Arial"/>
          <w:color w:val="000000" w:themeColor="text1"/>
          <w:sz w:val="20"/>
          <w:szCs w:val="20"/>
        </w:rPr>
        <w:t xml:space="preserve"> </w:t>
      </w:r>
    </w:p>
    <w:p w14:paraId="11701104" w14:textId="77777777" w:rsidR="0071367B" w:rsidRDefault="0071367B" w:rsidP="00365A8B">
      <w:pPr>
        <w:pStyle w:val="Default"/>
        <w:rPr>
          <w:rFonts w:ascii="Arial" w:hAnsi="Arial" w:cs="Arial"/>
          <w:b/>
          <w:bCs/>
          <w:color w:val="000000" w:themeColor="text1"/>
          <w:sz w:val="20"/>
          <w:szCs w:val="20"/>
          <w:u w:val="single"/>
        </w:rPr>
      </w:pPr>
    </w:p>
    <w:p w14:paraId="62A4052F" w14:textId="36B323C5" w:rsidR="00A87E03" w:rsidRDefault="00A87E03" w:rsidP="00365A8B">
      <w:pPr>
        <w:pStyle w:val="Default"/>
        <w:rPr>
          <w:rFonts w:ascii="Arial" w:hAnsi="Arial" w:cs="Arial"/>
          <w:b/>
          <w:bCs/>
          <w:color w:val="000000" w:themeColor="text1"/>
          <w:sz w:val="20"/>
          <w:szCs w:val="20"/>
          <w:u w:val="single"/>
        </w:rPr>
      </w:pPr>
      <w:r w:rsidRPr="001B1A5C">
        <w:rPr>
          <w:rFonts w:ascii="Arial" w:hAnsi="Arial" w:cs="Arial"/>
          <w:b/>
          <w:bCs/>
          <w:color w:val="000000" w:themeColor="text1"/>
          <w:sz w:val="20"/>
          <w:szCs w:val="20"/>
          <w:u w:val="single"/>
        </w:rPr>
        <w:t xml:space="preserve">Sustainable Provider Financing </w:t>
      </w:r>
    </w:p>
    <w:p w14:paraId="30458F85" w14:textId="77777777" w:rsidR="00220F97" w:rsidRPr="00220F97" w:rsidRDefault="00220F97" w:rsidP="00365A8B">
      <w:pPr>
        <w:pStyle w:val="Default"/>
        <w:rPr>
          <w:rFonts w:ascii="Arial" w:hAnsi="Arial" w:cs="Arial"/>
          <w:b/>
          <w:bCs/>
          <w:color w:val="000000" w:themeColor="text1"/>
          <w:sz w:val="20"/>
          <w:szCs w:val="20"/>
          <w:u w:val="single"/>
        </w:rPr>
      </w:pPr>
    </w:p>
    <w:p w14:paraId="4967C473" w14:textId="77777777" w:rsidR="00A87E03" w:rsidRPr="00BD7FBB" w:rsidRDefault="00A87E03" w:rsidP="00365A8B">
      <w:pPr>
        <w:pStyle w:val="Default"/>
        <w:rPr>
          <w:rFonts w:ascii="Arial" w:hAnsi="Arial" w:cs="Arial"/>
          <w:b/>
          <w:bCs/>
          <w:color w:val="000000" w:themeColor="text1"/>
          <w:sz w:val="20"/>
          <w:szCs w:val="20"/>
        </w:rPr>
      </w:pPr>
      <w:r w:rsidRPr="00BD7FBB">
        <w:rPr>
          <w:rFonts w:ascii="Arial" w:hAnsi="Arial" w:cs="Arial"/>
          <w:b/>
          <w:bCs/>
          <w:color w:val="000000" w:themeColor="text1"/>
          <w:sz w:val="20"/>
          <w:szCs w:val="20"/>
        </w:rPr>
        <w:t>Inflationary Update</w:t>
      </w:r>
    </w:p>
    <w:p w14:paraId="1A5A44E2" w14:textId="639B0D73" w:rsidR="00E724A9" w:rsidRPr="00E724A9" w:rsidRDefault="00A87E03" w:rsidP="00365A8B">
      <w:pPr>
        <w:spacing w:line="276" w:lineRule="auto"/>
        <w:rPr>
          <w:rFonts w:ascii="Arial" w:hAnsi="Arial" w:cs="Arial"/>
          <w:szCs w:val="20"/>
        </w:rPr>
      </w:pPr>
      <w:r w:rsidRPr="00E724A9">
        <w:rPr>
          <w:rFonts w:ascii="Arial" w:eastAsia="Arial" w:hAnsi="Arial" w:cs="Arial"/>
        </w:rPr>
        <w:t xml:space="preserve">Over the last 5 years payments to pathologists have decreased by approximately 4.6 percent, while physician practice costs (medical supplies, lab personnel costs, professional liability insurance) have </w:t>
      </w:r>
      <w:r w:rsidRPr="00B66093">
        <w:rPr>
          <w:rFonts w:ascii="Arial" w:eastAsia="Arial" w:hAnsi="Arial" w:cs="Arial"/>
        </w:rPr>
        <w:t xml:space="preserve">increased by nearly 13.8 percent. In 2024 alone, pathologists are anticipated to experience a </w:t>
      </w:r>
      <w:r w:rsidR="007529D2" w:rsidRPr="00B66093">
        <w:rPr>
          <w:rFonts w:ascii="Arial" w:eastAsia="Arial" w:hAnsi="Arial" w:cs="Arial"/>
        </w:rPr>
        <w:t xml:space="preserve">net </w:t>
      </w:r>
      <w:r w:rsidRPr="00B66093">
        <w:rPr>
          <w:rFonts w:ascii="Arial" w:eastAsia="Arial" w:hAnsi="Arial" w:cs="Arial"/>
        </w:rPr>
        <w:t xml:space="preserve">5.7 percent reduction in </w:t>
      </w:r>
      <w:r w:rsidR="007529D2" w:rsidRPr="00B66093">
        <w:rPr>
          <w:rFonts w:ascii="Arial" w:eastAsia="Arial" w:hAnsi="Arial" w:cs="Arial"/>
        </w:rPr>
        <w:t xml:space="preserve">Medicare Physician Fee Schedule </w:t>
      </w:r>
      <w:r w:rsidR="00B66093" w:rsidRPr="00B66093">
        <w:rPr>
          <w:rFonts w:ascii="Arial" w:eastAsia="Arial" w:hAnsi="Arial" w:cs="Arial"/>
        </w:rPr>
        <w:t>reimbursement</w:t>
      </w:r>
      <w:r w:rsidRPr="00B66093">
        <w:rPr>
          <w:rFonts w:ascii="Arial" w:eastAsia="Arial" w:hAnsi="Arial" w:cs="Arial"/>
        </w:rPr>
        <w:t xml:space="preserve"> as </w:t>
      </w:r>
      <w:r w:rsidR="00C54C5C" w:rsidRPr="00B66093">
        <w:rPr>
          <w:rFonts w:ascii="Arial" w:eastAsia="Arial" w:hAnsi="Arial" w:cs="Arial"/>
        </w:rPr>
        <w:t>payments</w:t>
      </w:r>
      <w:r w:rsidRPr="00B66093">
        <w:rPr>
          <w:rFonts w:ascii="Arial" w:eastAsia="Arial" w:hAnsi="Arial" w:cs="Arial"/>
        </w:rPr>
        <w:t xml:space="preserve"> are expected to fall by close to 1.1 percent while expenses are expected to increase</w:t>
      </w:r>
      <w:r w:rsidRPr="00E724A9">
        <w:rPr>
          <w:rFonts w:ascii="Arial" w:eastAsia="Arial" w:hAnsi="Arial" w:cs="Arial"/>
        </w:rPr>
        <w:t xml:space="preserve"> by over 4.6 percent. The lack of an annual inflationary update for pathologists, especially those that operate small businesses, compounds the wide range of shifting economic factors impacting the practice of pathology, such as increasing administrative burdens, staff salaries, office rent, and purchasing of essential technology when determining their ability to provide care to Medicare patients. The absence of an annual inflationary update, combined with the physician fee schedule’s statutory budget neutrality requirements and ongoing Medicare payment cuts, further compounds the difficulties pathologists face in managing resources to continue caring for patients in their communities.</w:t>
      </w:r>
      <w:r w:rsidR="00E724A9" w:rsidRPr="00E724A9">
        <w:rPr>
          <w:rFonts w:ascii="Arial" w:eastAsia="Arial" w:hAnsi="Arial" w:cs="Arial"/>
        </w:rPr>
        <w:t xml:space="preserve"> </w:t>
      </w:r>
      <w:r w:rsidR="00E724A9" w:rsidRPr="0071367B">
        <w:rPr>
          <w:rFonts w:ascii="Arial" w:eastAsia="Arial" w:hAnsi="Arial" w:cs="Arial"/>
          <w:b/>
          <w:bCs/>
        </w:rPr>
        <w:t>Therefore, the CAP requests that the Committee pass legislation to provide an inflationary update to the Medicare Physician Fee Schedule.</w:t>
      </w:r>
      <w:r w:rsidR="00E724A9" w:rsidRPr="00E724A9">
        <w:rPr>
          <w:rFonts w:ascii="Arial" w:eastAsia="Arial" w:hAnsi="Arial" w:cs="Arial"/>
        </w:rPr>
        <w:t xml:space="preserve"> </w:t>
      </w:r>
    </w:p>
    <w:p w14:paraId="66826263" w14:textId="141159E3" w:rsidR="00A87E03" w:rsidRDefault="00A87E03" w:rsidP="00365A8B">
      <w:pPr>
        <w:spacing w:line="276" w:lineRule="auto"/>
        <w:ind w:right="471"/>
        <w:rPr>
          <w:rFonts w:ascii="Arial" w:eastAsia="Arial" w:hAnsi="Arial" w:cs="Arial"/>
        </w:rPr>
      </w:pPr>
    </w:p>
    <w:p w14:paraId="33056082" w14:textId="77777777" w:rsidR="00A87E03" w:rsidRDefault="00A87E03" w:rsidP="00365A8B">
      <w:pPr>
        <w:spacing w:line="276" w:lineRule="auto"/>
        <w:ind w:right="18"/>
        <w:jc w:val="center"/>
        <w:rPr>
          <w:rFonts w:ascii="Arial" w:eastAsia="Arial" w:hAnsi="Arial" w:cs="Arial"/>
        </w:rPr>
      </w:pPr>
      <w:r w:rsidRPr="00392790">
        <w:rPr>
          <w:rFonts w:ascii="Arial" w:eastAsia="Arial" w:hAnsi="Arial" w:cs="Arial"/>
          <w:noProof/>
        </w:rPr>
        <w:drawing>
          <wp:inline distT="0" distB="0" distL="0" distR="0" wp14:anchorId="5CD1B679" wp14:editId="745221A9">
            <wp:extent cx="5153025" cy="3407410"/>
            <wp:effectExtent l="0" t="0" r="9525" b="2540"/>
            <wp:docPr id="12" name="Picture 11" descr="A graph showing the cost of a health care system&#10;&#10;Description automatically generated with medium confidence">
              <a:extLst xmlns:a="http://schemas.openxmlformats.org/drawingml/2006/main">
                <a:ext uri="{FF2B5EF4-FFF2-40B4-BE49-F238E27FC236}">
                  <a16:creationId xmlns:a16="http://schemas.microsoft.com/office/drawing/2014/main" id="{739D4071-F044-121D-0454-114D4B70ED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graph showing the cost of a health care system&#10;&#10;Description automatically generated with medium confidence">
                      <a:extLst>
                        <a:ext uri="{FF2B5EF4-FFF2-40B4-BE49-F238E27FC236}">
                          <a16:creationId xmlns:a16="http://schemas.microsoft.com/office/drawing/2014/main" id="{739D4071-F044-121D-0454-114D4B70ED1B}"/>
                        </a:ext>
                      </a:extLst>
                    </pic:cNvPr>
                    <pic:cNvPicPr>
                      <a:picLocks noChangeAspect="1"/>
                    </pic:cNvPicPr>
                  </pic:nvPicPr>
                  <pic:blipFill>
                    <a:blip r:embed="rId13"/>
                    <a:stretch>
                      <a:fillRect/>
                    </a:stretch>
                  </pic:blipFill>
                  <pic:spPr>
                    <a:xfrm>
                      <a:off x="0" y="0"/>
                      <a:ext cx="5156258" cy="3409548"/>
                    </a:xfrm>
                    <a:prstGeom prst="rect">
                      <a:avLst/>
                    </a:prstGeom>
                  </pic:spPr>
                </pic:pic>
              </a:graphicData>
            </a:graphic>
          </wp:inline>
        </w:drawing>
      </w:r>
    </w:p>
    <w:p w14:paraId="6881EA7C" w14:textId="77777777" w:rsidR="00A87E03" w:rsidRDefault="00A87E03" w:rsidP="00365A8B">
      <w:pPr>
        <w:spacing w:line="276" w:lineRule="auto"/>
        <w:ind w:left="836" w:right="471"/>
        <w:rPr>
          <w:rFonts w:ascii="Arial" w:eastAsia="Arial" w:hAnsi="Arial" w:cs="Arial"/>
          <w:b/>
        </w:rPr>
      </w:pPr>
    </w:p>
    <w:tbl>
      <w:tblPr>
        <w:tblW w:w="882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810"/>
        <w:gridCol w:w="900"/>
        <w:gridCol w:w="900"/>
        <w:gridCol w:w="810"/>
        <w:gridCol w:w="876"/>
        <w:gridCol w:w="1340"/>
        <w:gridCol w:w="1204"/>
      </w:tblGrid>
      <w:tr w:rsidR="00A87E03" w:rsidRPr="00506949" w14:paraId="3E99C721" w14:textId="77777777" w:rsidTr="00365A8B">
        <w:trPr>
          <w:trHeight w:val="290"/>
        </w:trPr>
        <w:tc>
          <w:tcPr>
            <w:tcW w:w="1985" w:type="dxa"/>
            <w:noWrap/>
            <w:tcMar>
              <w:top w:w="0" w:type="dxa"/>
              <w:left w:w="108" w:type="dxa"/>
              <w:bottom w:w="0" w:type="dxa"/>
              <w:right w:w="108" w:type="dxa"/>
            </w:tcMar>
            <w:vAlign w:val="bottom"/>
            <w:hideMark/>
          </w:tcPr>
          <w:p w14:paraId="5B0D8A0F" w14:textId="77777777" w:rsidR="00A87E03" w:rsidRPr="00304CAF" w:rsidRDefault="00A87E03" w:rsidP="00365A8B">
            <w:pPr>
              <w:spacing w:line="276" w:lineRule="auto"/>
              <w:rPr>
                <w:rFonts w:ascii="Arial" w:hAnsi="Arial" w:cs="Arial"/>
              </w:rPr>
            </w:pPr>
          </w:p>
        </w:tc>
        <w:tc>
          <w:tcPr>
            <w:tcW w:w="810" w:type="dxa"/>
            <w:vAlign w:val="bottom"/>
          </w:tcPr>
          <w:p w14:paraId="31765AAF" w14:textId="77777777" w:rsidR="00A87E03" w:rsidRPr="00304CAF" w:rsidRDefault="00A87E03" w:rsidP="00365A8B">
            <w:pPr>
              <w:spacing w:line="276" w:lineRule="auto"/>
              <w:jc w:val="center"/>
              <w:rPr>
                <w:rFonts w:ascii="Arial" w:hAnsi="Arial" w:cs="Arial"/>
                <w:b/>
                <w:bCs/>
              </w:rPr>
            </w:pPr>
            <w:r w:rsidRPr="00304CAF">
              <w:rPr>
                <w:rFonts w:ascii="Arial" w:hAnsi="Arial" w:cs="Arial"/>
                <w:b/>
                <w:bCs/>
              </w:rPr>
              <w:t>2020</w:t>
            </w:r>
          </w:p>
        </w:tc>
        <w:tc>
          <w:tcPr>
            <w:tcW w:w="900" w:type="dxa"/>
            <w:vAlign w:val="bottom"/>
          </w:tcPr>
          <w:p w14:paraId="2481C15E" w14:textId="77777777" w:rsidR="00A87E03" w:rsidRPr="00304CAF" w:rsidRDefault="00A87E03" w:rsidP="00365A8B">
            <w:pPr>
              <w:spacing w:line="276" w:lineRule="auto"/>
              <w:jc w:val="center"/>
              <w:rPr>
                <w:rFonts w:ascii="Arial" w:hAnsi="Arial" w:cs="Arial"/>
                <w:b/>
                <w:bCs/>
              </w:rPr>
            </w:pPr>
            <w:r w:rsidRPr="00304CAF">
              <w:rPr>
                <w:rFonts w:ascii="Arial" w:hAnsi="Arial" w:cs="Arial"/>
                <w:b/>
                <w:bCs/>
              </w:rPr>
              <w:t>2021</w:t>
            </w:r>
          </w:p>
        </w:tc>
        <w:tc>
          <w:tcPr>
            <w:tcW w:w="900" w:type="dxa"/>
            <w:noWrap/>
            <w:tcMar>
              <w:top w:w="0" w:type="dxa"/>
              <w:left w:w="108" w:type="dxa"/>
              <w:bottom w:w="0" w:type="dxa"/>
              <w:right w:w="108" w:type="dxa"/>
            </w:tcMar>
            <w:vAlign w:val="bottom"/>
            <w:hideMark/>
          </w:tcPr>
          <w:p w14:paraId="20E40C2A" w14:textId="77777777" w:rsidR="00A87E03" w:rsidRPr="00304CAF" w:rsidRDefault="00A87E03" w:rsidP="00365A8B">
            <w:pPr>
              <w:spacing w:line="276" w:lineRule="auto"/>
              <w:jc w:val="center"/>
              <w:rPr>
                <w:rFonts w:ascii="Arial" w:hAnsi="Arial" w:cs="Arial"/>
                <w:b/>
                <w:bCs/>
              </w:rPr>
            </w:pPr>
            <w:r w:rsidRPr="00304CAF">
              <w:rPr>
                <w:rFonts w:ascii="Arial" w:hAnsi="Arial" w:cs="Arial"/>
                <w:b/>
                <w:bCs/>
              </w:rPr>
              <w:t>2022</w:t>
            </w:r>
          </w:p>
        </w:tc>
        <w:tc>
          <w:tcPr>
            <w:tcW w:w="810" w:type="dxa"/>
            <w:vAlign w:val="bottom"/>
          </w:tcPr>
          <w:p w14:paraId="67B37901" w14:textId="77777777" w:rsidR="00A87E03" w:rsidRPr="00304CAF" w:rsidRDefault="00A87E03" w:rsidP="00365A8B">
            <w:pPr>
              <w:spacing w:line="276" w:lineRule="auto"/>
              <w:jc w:val="center"/>
              <w:rPr>
                <w:rFonts w:ascii="Arial" w:hAnsi="Arial" w:cs="Arial"/>
                <w:b/>
                <w:bCs/>
              </w:rPr>
            </w:pPr>
            <w:r w:rsidRPr="00304CAF">
              <w:rPr>
                <w:rFonts w:ascii="Arial" w:hAnsi="Arial" w:cs="Arial"/>
                <w:b/>
                <w:bCs/>
              </w:rPr>
              <w:t>2023</w:t>
            </w:r>
          </w:p>
        </w:tc>
        <w:tc>
          <w:tcPr>
            <w:tcW w:w="876" w:type="dxa"/>
            <w:vAlign w:val="bottom"/>
          </w:tcPr>
          <w:p w14:paraId="6B35FBB8" w14:textId="77777777" w:rsidR="00A87E03" w:rsidRPr="00304CAF" w:rsidRDefault="00A87E03" w:rsidP="00365A8B">
            <w:pPr>
              <w:spacing w:line="276" w:lineRule="auto"/>
              <w:jc w:val="center"/>
              <w:rPr>
                <w:rFonts w:ascii="Arial" w:hAnsi="Arial" w:cs="Arial"/>
                <w:b/>
                <w:bCs/>
              </w:rPr>
            </w:pPr>
            <w:r w:rsidRPr="00304CAF">
              <w:rPr>
                <w:rFonts w:ascii="Arial" w:hAnsi="Arial" w:cs="Arial"/>
                <w:b/>
                <w:bCs/>
              </w:rPr>
              <w:t>2024</w:t>
            </w:r>
          </w:p>
        </w:tc>
        <w:tc>
          <w:tcPr>
            <w:tcW w:w="1340" w:type="dxa"/>
            <w:noWrap/>
            <w:tcMar>
              <w:top w:w="0" w:type="dxa"/>
              <w:left w:w="108" w:type="dxa"/>
              <w:bottom w:w="0" w:type="dxa"/>
              <w:right w:w="108" w:type="dxa"/>
            </w:tcMar>
            <w:vAlign w:val="bottom"/>
            <w:hideMark/>
          </w:tcPr>
          <w:p w14:paraId="1106B250" w14:textId="77777777" w:rsidR="00A87E03" w:rsidRPr="00304CAF" w:rsidRDefault="00A87E03" w:rsidP="00365A8B">
            <w:pPr>
              <w:spacing w:line="276" w:lineRule="auto"/>
              <w:jc w:val="center"/>
              <w:rPr>
                <w:rFonts w:ascii="Arial" w:hAnsi="Arial" w:cs="Arial"/>
                <w:b/>
                <w:bCs/>
              </w:rPr>
            </w:pPr>
            <w:r w:rsidRPr="00304CAF">
              <w:rPr>
                <w:rFonts w:ascii="Arial" w:hAnsi="Arial" w:cs="Arial"/>
                <w:b/>
                <w:bCs/>
              </w:rPr>
              <w:t>5</w:t>
            </w:r>
            <w:r w:rsidRPr="00506949">
              <w:rPr>
                <w:rFonts w:ascii="Arial" w:hAnsi="Arial" w:cs="Arial"/>
                <w:b/>
                <w:bCs/>
              </w:rPr>
              <w:t>-</w:t>
            </w:r>
            <w:r w:rsidRPr="00304CAF">
              <w:rPr>
                <w:rFonts w:ascii="Arial" w:hAnsi="Arial" w:cs="Arial"/>
                <w:b/>
                <w:bCs/>
              </w:rPr>
              <w:t>Year Total</w:t>
            </w:r>
          </w:p>
        </w:tc>
        <w:tc>
          <w:tcPr>
            <w:tcW w:w="1204" w:type="dxa"/>
            <w:noWrap/>
            <w:tcMar>
              <w:top w:w="0" w:type="dxa"/>
              <w:left w:w="108" w:type="dxa"/>
              <w:bottom w:w="0" w:type="dxa"/>
              <w:right w:w="108" w:type="dxa"/>
            </w:tcMar>
            <w:vAlign w:val="bottom"/>
            <w:hideMark/>
          </w:tcPr>
          <w:p w14:paraId="48F37344" w14:textId="77777777" w:rsidR="00A87E03" w:rsidRPr="00304CAF" w:rsidRDefault="00A87E03" w:rsidP="00365A8B">
            <w:pPr>
              <w:spacing w:line="276" w:lineRule="auto"/>
              <w:jc w:val="center"/>
              <w:rPr>
                <w:rFonts w:ascii="Arial" w:hAnsi="Arial" w:cs="Arial"/>
                <w:b/>
                <w:bCs/>
              </w:rPr>
            </w:pPr>
            <w:r w:rsidRPr="00304CAF">
              <w:rPr>
                <w:rFonts w:ascii="Arial" w:hAnsi="Arial" w:cs="Arial"/>
                <w:b/>
                <w:bCs/>
              </w:rPr>
              <w:t>Yearly Average</w:t>
            </w:r>
          </w:p>
        </w:tc>
      </w:tr>
      <w:tr w:rsidR="00A87E03" w:rsidRPr="00506949" w14:paraId="37852777" w14:textId="77777777" w:rsidTr="00365A8B">
        <w:trPr>
          <w:trHeight w:val="368"/>
        </w:trPr>
        <w:tc>
          <w:tcPr>
            <w:tcW w:w="1985" w:type="dxa"/>
            <w:noWrap/>
            <w:tcMar>
              <w:top w:w="0" w:type="dxa"/>
              <w:left w:w="108" w:type="dxa"/>
              <w:bottom w:w="0" w:type="dxa"/>
              <w:right w:w="108" w:type="dxa"/>
            </w:tcMar>
            <w:vAlign w:val="bottom"/>
            <w:hideMark/>
          </w:tcPr>
          <w:p w14:paraId="2C790525" w14:textId="77777777" w:rsidR="00A87E03" w:rsidRPr="00304CAF" w:rsidRDefault="00A87E03" w:rsidP="00365A8B">
            <w:pPr>
              <w:spacing w:line="276" w:lineRule="auto"/>
              <w:rPr>
                <w:rFonts w:ascii="Arial" w:hAnsi="Arial" w:cs="Arial"/>
              </w:rPr>
            </w:pPr>
            <w:r w:rsidRPr="00304CAF">
              <w:rPr>
                <w:rFonts w:ascii="Arial" w:hAnsi="Arial" w:cs="Arial"/>
              </w:rPr>
              <w:t>Pathology</w:t>
            </w:r>
            <w:r>
              <w:rPr>
                <w:rFonts w:ascii="Arial" w:hAnsi="Arial" w:cs="Arial"/>
              </w:rPr>
              <w:t xml:space="preserve"> Medicare</w:t>
            </w:r>
            <w:r w:rsidRPr="00304CAF">
              <w:rPr>
                <w:rFonts w:ascii="Arial" w:hAnsi="Arial" w:cs="Arial"/>
              </w:rPr>
              <w:t xml:space="preserve"> Payments</w:t>
            </w:r>
          </w:p>
        </w:tc>
        <w:tc>
          <w:tcPr>
            <w:tcW w:w="810" w:type="dxa"/>
            <w:vAlign w:val="bottom"/>
          </w:tcPr>
          <w:p w14:paraId="39C73336" w14:textId="77777777" w:rsidR="00A87E03" w:rsidRPr="00304CAF" w:rsidRDefault="00A87E03" w:rsidP="00365A8B">
            <w:pPr>
              <w:spacing w:line="276" w:lineRule="auto"/>
              <w:jc w:val="right"/>
              <w:rPr>
                <w:rFonts w:ascii="Arial" w:hAnsi="Arial" w:cs="Arial"/>
              </w:rPr>
            </w:pPr>
            <w:r w:rsidRPr="00304CAF">
              <w:rPr>
                <w:rFonts w:ascii="Arial" w:hAnsi="Arial" w:cs="Arial"/>
              </w:rPr>
              <w:t>0.03</w:t>
            </w:r>
            <w:r w:rsidRPr="00506949">
              <w:rPr>
                <w:rFonts w:ascii="Arial" w:hAnsi="Arial" w:cs="Arial"/>
              </w:rPr>
              <w:t>%</w:t>
            </w:r>
          </w:p>
        </w:tc>
        <w:tc>
          <w:tcPr>
            <w:tcW w:w="900" w:type="dxa"/>
            <w:vAlign w:val="bottom"/>
          </w:tcPr>
          <w:p w14:paraId="2A045F22" w14:textId="77777777" w:rsidR="00A87E03" w:rsidRPr="00304CAF" w:rsidRDefault="00A87E03" w:rsidP="00365A8B">
            <w:pPr>
              <w:spacing w:line="276" w:lineRule="auto"/>
              <w:jc w:val="right"/>
              <w:rPr>
                <w:rFonts w:ascii="Arial" w:hAnsi="Arial" w:cs="Arial"/>
              </w:rPr>
            </w:pPr>
            <w:r w:rsidRPr="00304CAF">
              <w:rPr>
                <w:rFonts w:ascii="Arial" w:hAnsi="Arial" w:cs="Arial"/>
              </w:rPr>
              <w:t>-1.75</w:t>
            </w:r>
            <w:r w:rsidRPr="00506949">
              <w:rPr>
                <w:rFonts w:ascii="Arial" w:hAnsi="Arial" w:cs="Arial"/>
              </w:rPr>
              <w:t>%</w:t>
            </w:r>
          </w:p>
        </w:tc>
        <w:tc>
          <w:tcPr>
            <w:tcW w:w="900" w:type="dxa"/>
            <w:noWrap/>
            <w:tcMar>
              <w:top w:w="0" w:type="dxa"/>
              <w:left w:w="108" w:type="dxa"/>
              <w:bottom w:w="0" w:type="dxa"/>
              <w:right w:w="108" w:type="dxa"/>
            </w:tcMar>
            <w:vAlign w:val="bottom"/>
            <w:hideMark/>
          </w:tcPr>
          <w:p w14:paraId="04C25DE4" w14:textId="77777777" w:rsidR="00A87E03" w:rsidRPr="00304CAF" w:rsidRDefault="00A87E03" w:rsidP="00365A8B">
            <w:pPr>
              <w:spacing w:line="276" w:lineRule="auto"/>
              <w:jc w:val="right"/>
              <w:rPr>
                <w:rFonts w:ascii="Arial" w:hAnsi="Arial" w:cs="Arial"/>
              </w:rPr>
            </w:pPr>
            <w:r w:rsidRPr="00304CAF">
              <w:rPr>
                <w:rFonts w:ascii="Arial" w:hAnsi="Arial" w:cs="Arial"/>
              </w:rPr>
              <w:t>-0.65</w:t>
            </w:r>
            <w:r w:rsidRPr="00506949">
              <w:rPr>
                <w:rFonts w:ascii="Arial" w:hAnsi="Arial" w:cs="Arial"/>
              </w:rPr>
              <w:t>%</w:t>
            </w:r>
          </w:p>
        </w:tc>
        <w:tc>
          <w:tcPr>
            <w:tcW w:w="810" w:type="dxa"/>
            <w:vAlign w:val="bottom"/>
          </w:tcPr>
          <w:p w14:paraId="2F98B2B2" w14:textId="77777777" w:rsidR="00A87E03" w:rsidRPr="00304CAF" w:rsidRDefault="00A87E03" w:rsidP="00365A8B">
            <w:pPr>
              <w:spacing w:line="276" w:lineRule="auto"/>
              <w:jc w:val="right"/>
              <w:rPr>
                <w:rFonts w:ascii="Arial" w:hAnsi="Arial" w:cs="Arial"/>
              </w:rPr>
            </w:pPr>
            <w:r w:rsidRPr="00304CAF">
              <w:rPr>
                <w:rFonts w:ascii="Arial" w:hAnsi="Arial" w:cs="Arial"/>
              </w:rPr>
              <w:t>-1.16</w:t>
            </w:r>
            <w:r w:rsidRPr="00506949">
              <w:rPr>
                <w:rFonts w:ascii="Arial" w:hAnsi="Arial" w:cs="Arial"/>
              </w:rPr>
              <w:t>%</w:t>
            </w:r>
          </w:p>
        </w:tc>
        <w:tc>
          <w:tcPr>
            <w:tcW w:w="876" w:type="dxa"/>
            <w:vAlign w:val="bottom"/>
          </w:tcPr>
          <w:p w14:paraId="100C195A" w14:textId="77777777" w:rsidR="00A87E03" w:rsidRPr="00304CAF" w:rsidRDefault="00A87E03" w:rsidP="00365A8B">
            <w:pPr>
              <w:spacing w:line="276" w:lineRule="auto"/>
              <w:jc w:val="right"/>
              <w:rPr>
                <w:rFonts w:ascii="Arial" w:hAnsi="Arial" w:cs="Arial"/>
              </w:rPr>
            </w:pPr>
            <w:r w:rsidRPr="00304CAF">
              <w:rPr>
                <w:rFonts w:ascii="Arial" w:hAnsi="Arial" w:cs="Arial"/>
              </w:rPr>
              <w:t>-</w:t>
            </w:r>
            <w:r>
              <w:rPr>
                <w:rFonts w:ascii="Arial" w:hAnsi="Arial" w:cs="Arial"/>
              </w:rPr>
              <w:t>1.11</w:t>
            </w:r>
            <w:r w:rsidRPr="00506949">
              <w:rPr>
                <w:rFonts w:ascii="Arial" w:hAnsi="Arial" w:cs="Arial"/>
              </w:rPr>
              <w:t>%</w:t>
            </w:r>
          </w:p>
        </w:tc>
        <w:tc>
          <w:tcPr>
            <w:tcW w:w="1340" w:type="dxa"/>
            <w:noWrap/>
            <w:tcMar>
              <w:top w:w="0" w:type="dxa"/>
              <w:left w:w="108" w:type="dxa"/>
              <w:bottom w:w="0" w:type="dxa"/>
              <w:right w:w="108" w:type="dxa"/>
            </w:tcMar>
            <w:vAlign w:val="bottom"/>
            <w:hideMark/>
          </w:tcPr>
          <w:p w14:paraId="3B355E7F" w14:textId="77777777" w:rsidR="00A87E03" w:rsidRPr="00304CAF" w:rsidRDefault="00A87E03" w:rsidP="00365A8B">
            <w:pPr>
              <w:spacing w:line="276" w:lineRule="auto"/>
              <w:jc w:val="right"/>
              <w:rPr>
                <w:rFonts w:ascii="Arial" w:hAnsi="Arial" w:cs="Arial"/>
              </w:rPr>
            </w:pPr>
            <w:r w:rsidRPr="00304CAF">
              <w:rPr>
                <w:rFonts w:ascii="Arial" w:hAnsi="Arial" w:cs="Arial"/>
              </w:rPr>
              <w:t>-</w:t>
            </w:r>
            <w:r>
              <w:rPr>
                <w:rFonts w:ascii="Arial" w:hAnsi="Arial" w:cs="Arial"/>
              </w:rPr>
              <w:t>4.64</w:t>
            </w:r>
            <w:r w:rsidRPr="00506949">
              <w:rPr>
                <w:rFonts w:ascii="Arial" w:hAnsi="Arial" w:cs="Arial"/>
              </w:rPr>
              <w:t>%</w:t>
            </w:r>
          </w:p>
        </w:tc>
        <w:tc>
          <w:tcPr>
            <w:tcW w:w="1204" w:type="dxa"/>
            <w:noWrap/>
            <w:tcMar>
              <w:top w:w="0" w:type="dxa"/>
              <w:left w:w="108" w:type="dxa"/>
              <w:bottom w:w="0" w:type="dxa"/>
              <w:right w:w="108" w:type="dxa"/>
            </w:tcMar>
            <w:vAlign w:val="bottom"/>
            <w:hideMark/>
          </w:tcPr>
          <w:p w14:paraId="09770EF3" w14:textId="77777777" w:rsidR="00A87E03" w:rsidRPr="00304CAF" w:rsidRDefault="00A87E03" w:rsidP="00365A8B">
            <w:pPr>
              <w:spacing w:line="276" w:lineRule="auto"/>
              <w:jc w:val="right"/>
              <w:rPr>
                <w:rFonts w:ascii="Arial" w:hAnsi="Arial" w:cs="Arial"/>
              </w:rPr>
            </w:pPr>
            <w:r w:rsidRPr="00304CAF">
              <w:rPr>
                <w:rFonts w:ascii="Arial" w:hAnsi="Arial" w:cs="Arial"/>
              </w:rPr>
              <w:t>-</w:t>
            </w:r>
            <w:r>
              <w:rPr>
                <w:rFonts w:ascii="Arial" w:hAnsi="Arial" w:cs="Arial"/>
              </w:rPr>
              <w:t>0.93</w:t>
            </w:r>
            <w:r w:rsidRPr="00506949">
              <w:rPr>
                <w:rFonts w:ascii="Arial" w:hAnsi="Arial" w:cs="Arial"/>
              </w:rPr>
              <w:t>%</w:t>
            </w:r>
          </w:p>
        </w:tc>
      </w:tr>
      <w:tr w:rsidR="00A87E03" w:rsidRPr="00506949" w14:paraId="22EA2EFD" w14:textId="77777777" w:rsidTr="00365A8B">
        <w:trPr>
          <w:trHeight w:val="800"/>
        </w:trPr>
        <w:tc>
          <w:tcPr>
            <w:tcW w:w="1985" w:type="dxa"/>
            <w:noWrap/>
            <w:tcMar>
              <w:top w:w="0" w:type="dxa"/>
              <w:left w:w="108" w:type="dxa"/>
              <w:bottom w:w="0" w:type="dxa"/>
              <w:right w:w="108" w:type="dxa"/>
            </w:tcMar>
            <w:vAlign w:val="bottom"/>
            <w:hideMark/>
          </w:tcPr>
          <w:p w14:paraId="0A47DA00" w14:textId="77777777" w:rsidR="00A87E03" w:rsidRPr="00304CAF" w:rsidRDefault="00A87E03" w:rsidP="00365A8B">
            <w:pPr>
              <w:spacing w:line="276" w:lineRule="auto"/>
              <w:rPr>
                <w:rFonts w:ascii="Arial" w:hAnsi="Arial" w:cs="Arial"/>
              </w:rPr>
            </w:pPr>
            <w:r w:rsidRPr="00304CAF">
              <w:rPr>
                <w:rFonts w:ascii="Arial" w:hAnsi="Arial" w:cs="Arial"/>
              </w:rPr>
              <w:t>M</w:t>
            </w:r>
            <w:r w:rsidRPr="00506949">
              <w:rPr>
                <w:rFonts w:ascii="Arial" w:hAnsi="Arial" w:cs="Arial"/>
              </w:rPr>
              <w:t>edicare Economic Index (MEI) for Inflation</w:t>
            </w:r>
          </w:p>
        </w:tc>
        <w:tc>
          <w:tcPr>
            <w:tcW w:w="810" w:type="dxa"/>
            <w:vAlign w:val="bottom"/>
          </w:tcPr>
          <w:p w14:paraId="0182D658" w14:textId="77777777" w:rsidR="00A87E03" w:rsidRPr="00304CAF" w:rsidRDefault="00A87E03" w:rsidP="00365A8B">
            <w:pPr>
              <w:spacing w:line="276" w:lineRule="auto"/>
              <w:jc w:val="right"/>
              <w:rPr>
                <w:rFonts w:ascii="Arial" w:hAnsi="Arial" w:cs="Arial"/>
              </w:rPr>
            </w:pPr>
            <w:r w:rsidRPr="00304CAF">
              <w:rPr>
                <w:rFonts w:ascii="Arial" w:hAnsi="Arial" w:cs="Arial"/>
              </w:rPr>
              <w:t>1.9</w:t>
            </w:r>
            <w:r w:rsidRPr="00506949">
              <w:rPr>
                <w:rFonts w:ascii="Arial" w:hAnsi="Arial" w:cs="Arial"/>
              </w:rPr>
              <w:t>%</w:t>
            </w:r>
          </w:p>
        </w:tc>
        <w:tc>
          <w:tcPr>
            <w:tcW w:w="900" w:type="dxa"/>
            <w:vAlign w:val="bottom"/>
          </w:tcPr>
          <w:p w14:paraId="1365A51E" w14:textId="77777777" w:rsidR="00A87E03" w:rsidRPr="00304CAF" w:rsidRDefault="00A87E03" w:rsidP="00365A8B">
            <w:pPr>
              <w:spacing w:line="276" w:lineRule="auto"/>
              <w:jc w:val="right"/>
              <w:rPr>
                <w:rFonts w:ascii="Arial" w:hAnsi="Arial" w:cs="Arial"/>
              </w:rPr>
            </w:pPr>
            <w:r w:rsidRPr="00304CAF">
              <w:rPr>
                <w:rFonts w:ascii="Arial" w:hAnsi="Arial" w:cs="Arial"/>
              </w:rPr>
              <w:t>1.4</w:t>
            </w:r>
            <w:r w:rsidRPr="00506949">
              <w:rPr>
                <w:rFonts w:ascii="Arial" w:hAnsi="Arial" w:cs="Arial"/>
              </w:rPr>
              <w:t>%</w:t>
            </w:r>
          </w:p>
        </w:tc>
        <w:tc>
          <w:tcPr>
            <w:tcW w:w="900" w:type="dxa"/>
            <w:noWrap/>
            <w:tcMar>
              <w:top w:w="0" w:type="dxa"/>
              <w:left w:w="108" w:type="dxa"/>
              <w:bottom w:w="0" w:type="dxa"/>
              <w:right w:w="108" w:type="dxa"/>
            </w:tcMar>
            <w:vAlign w:val="bottom"/>
            <w:hideMark/>
          </w:tcPr>
          <w:p w14:paraId="3D7C3DC0" w14:textId="77777777" w:rsidR="00A87E03" w:rsidRPr="00304CAF" w:rsidRDefault="00A87E03" w:rsidP="00365A8B">
            <w:pPr>
              <w:spacing w:line="276" w:lineRule="auto"/>
              <w:jc w:val="right"/>
              <w:rPr>
                <w:rFonts w:ascii="Arial" w:hAnsi="Arial" w:cs="Arial"/>
              </w:rPr>
            </w:pPr>
            <w:r w:rsidRPr="00304CAF">
              <w:rPr>
                <w:rFonts w:ascii="Arial" w:hAnsi="Arial" w:cs="Arial"/>
              </w:rPr>
              <w:t>2.1</w:t>
            </w:r>
            <w:r w:rsidRPr="00506949">
              <w:rPr>
                <w:rFonts w:ascii="Arial" w:hAnsi="Arial" w:cs="Arial"/>
              </w:rPr>
              <w:t>%</w:t>
            </w:r>
          </w:p>
        </w:tc>
        <w:tc>
          <w:tcPr>
            <w:tcW w:w="810" w:type="dxa"/>
            <w:vAlign w:val="bottom"/>
          </w:tcPr>
          <w:p w14:paraId="6259C986" w14:textId="77777777" w:rsidR="00A87E03" w:rsidRPr="00304CAF" w:rsidRDefault="00A87E03" w:rsidP="00365A8B">
            <w:pPr>
              <w:spacing w:line="276" w:lineRule="auto"/>
              <w:jc w:val="right"/>
              <w:rPr>
                <w:rFonts w:ascii="Arial" w:hAnsi="Arial" w:cs="Arial"/>
              </w:rPr>
            </w:pPr>
            <w:r w:rsidRPr="00304CAF">
              <w:rPr>
                <w:rFonts w:ascii="Arial" w:hAnsi="Arial" w:cs="Arial"/>
              </w:rPr>
              <w:t>3.8</w:t>
            </w:r>
            <w:r w:rsidRPr="00506949">
              <w:rPr>
                <w:rFonts w:ascii="Arial" w:hAnsi="Arial" w:cs="Arial"/>
              </w:rPr>
              <w:t>%</w:t>
            </w:r>
          </w:p>
        </w:tc>
        <w:tc>
          <w:tcPr>
            <w:tcW w:w="876" w:type="dxa"/>
            <w:vAlign w:val="bottom"/>
          </w:tcPr>
          <w:p w14:paraId="299508E0" w14:textId="77777777" w:rsidR="00A87E03" w:rsidRPr="00304CAF" w:rsidRDefault="00A87E03" w:rsidP="00365A8B">
            <w:pPr>
              <w:spacing w:line="276" w:lineRule="auto"/>
              <w:jc w:val="right"/>
              <w:rPr>
                <w:rFonts w:ascii="Arial" w:hAnsi="Arial" w:cs="Arial"/>
              </w:rPr>
            </w:pPr>
            <w:r w:rsidRPr="00304CAF">
              <w:rPr>
                <w:rFonts w:ascii="Arial" w:hAnsi="Arial" w:cs="Arial"/>
              </w:rPr>
              <w:t>4.6</w:t>
            </w:r>
            <w:r w:rsidRPr="00506949">
              <w:rPr>
                <w:rFonts w:ascii="Arial" w:hAnsi="Arial" w:cs="Arial"/>
              </w:rPr>
              <w:t>%</w:t>
            </w:r>
          </w:p>
        </w:tc>
        <w:tc>
          <w:tcPr>
            <w:tcW w:w="1340" w:type="dxa"/>
            <w:noWrap/>
            <w:tcMar>
              <w:top w:w="0" w:type="dxa"/>
              <w:left w:w="108" w:type="dxa"/>
              <w:bottom w:w="0" w:type="dxa"/>
              <w:right w:w="108" w:type="dxa"/>
            </w:tcMar>
            <w:vAlign w:val="bottom"/>
            <w:hideMark/>
          </w:tcPr>
          <w:p w14:paraId="55824221" w14:textId="77777777" w:rsidR="00A87E03" w:rsidRPr="00304CAF" w:rsidRDefault="00A87E03" w:rsidP="00365A8B">
            <w:pPr>
              <w:spacing w:line="276" w:lineRule="auto"/>
              <w:jc w:val="right"/>
              <w:rPr>
                <w:rFonts w:ascii="Arial" w:hAnsi="Arial" w:cs="Arial"/>
              </w:rPr>
            </w:pPr>
            <w:r w:rsidRPr="00304CAF">
              <w:rPr>
                <w:rFonts w:ascii="Arial" w:hAnsi="Arial" w:cs="Arial"/>
              </w:rPr>
              <w:t>13.8</w:t>
            </w:r>
            <w:r>
              <w:rPr>
                <w:rFonts w:ascii="Arial" w:hAnsi="Arial" w:cs="Arial"/>
              </w:rPr>
              <w:t>0</w:t>
            </w:r>
            <w:r w:rsidRPr="00506949">
              <w:rPr>
                <w:rFonts w:ascii="Arial" w:hAnsi="Arial" w:cs="Arial"/>
              </w:rPr>
              <w:t>%</w:t>
            </w:r>
          </w:p>
        </w:tc>
        <w:tc>
          <w:tcPr>
            <w:tcW w:w="1204" w:type="dxa"/>
            <w:noWrap/>
            <w:tcMar>
              <w:top w:w="0" w:type="dxa"/>
              <w:left w:w="108" w:type="dxa"/>
              <w:bottom w:w="0" w:type="dxa"/>
              <w:right w:w="108" w:type="dxa"/>
            </w:tcMar>
            <w:vAlign w:val="bottom"/>
            <w:hideMark/>
          </w:tcPr>
          <w:p w14:paraId="012FD425" w14:textId="77777777" w:rsidR="00A87E03" w:rsidRPr="00304CAF" w:rsidRDefault="00A87E03" w:rsidP="00365A8B">
            <w:pPr>
              <w:spacing w:line="276" w:lineRule="auto"/>
              <w:jc w:val="right"/>
              <w:rPr>
                <w:rFonts w:ascii="Arial" w:hAnsi="Arial" w:cs="Arial"/>
              </w:rPr>
            </w:pPr>
            <w:r w:rsidRPr="00304CAF">
              <w:rPr>
                <w:rFonts w:ascii="Arial" w:hAnsi="Arial" w:cs="Arial"/>
              </w:rPr>
              <w:t>2.76</w:t>
            </w:r>
            <w:r w:rsidRPr="00506949">
              <w:rPr>
                <w:rFonts w:ascii="Arial" w:hAnsi="Arial" w:cs="Arial"/>
              </w:rPr>
              <w:t>%</w:t>
            </w:r>
          </w:p>
        </w:tc>
      </w:tr>
      <w:tr w:rsidR="00A87E03" w:rsidRPr="00506949" w14:paraId="3869AE58" w14:textId="77777777" w:rsidTr="00365A8B">
        <w:trPr>
          <w:trHeight w:val="290"/>
        </w:trPr>
        <w:tc>
          <w:tcPr>
            <w:tcW w:w="1985" w:type="dxa"/>
            <w:noWrap/>
            <w:tcMar>
              <w:top w:w="0" w:type="dxa"/>
              <w:left w:w="108" w:type="dxa"/>
              <w:bottom w:w="0" w:type="dxa"/>
              <w:right w:w="108" w:type="dxa"/>
            </w:tcMar>
            <w:vAlign w:val="bottom"/>
            <w:hideMark/>
          </w:tcPr>
          <w:p w14:paraId="0D196573" w14:textId="77777777" w:rsidR="00A87E03" w:rsidRPr="00304CAF" w:rsidRDefault="00A87E03" w:rsidP="00365A8B">
            <w:pPr>
              <w:spacing w:line="276" w:lineRule="auto"/>
              <w:rPr>
                <w:rFonts w:ascii="Arial" w:hAnsi="Arial" w:cs="Arial"/>
              </w:rPr>
            </w:pPr>
            <w:r w:rsidRPr="00304CAF">
              <w:rPr>
                <w:rFonts w:ascii="Arial" w:hAnsi="Arial" w:cs="Arial"/>
              </w:rPr>
              <w:t>Difference</w:t>
            </w:r>
          </w:p>
        </w:tc>
        <w:tc>
          <w:tcPr>
            <w:tcW w:w="810" w:type="dxa"/>
            <w:vAlign w:val="bottom"/>
          </w:tcPr>
          <w:p w14:paraId="22559AF9" w14:textId="77777777" w:rsidR="00A87E03" w:rsidRPr="00304CAF" w:rsidRDefault="00A87E03" w:rsidP="00365A8B">
            <w:pPr>
              <w:spacing w:line="276" w:lineRule="auto"/>
              <w:jc w:val="right"/>
              <w:rPr>
                <w:rFonts w:ascii="Arial" w:hAnsi="Arial" w:cs="Arial"/>
              </w:rPr>
            </w:pPr>
            <w:r w:rsidRPr="00304CAF">
              <w:rPr>
                <w:rFonts w:ascii="Arial" w:hAnsi="Arial" w:cs="Arial"/>
              </w:rPr>
              <w:t>-1.87</w:t>
            </w:r>
            <w:r w:rsidRPr="00506949">
              <w:rPr>
                <w:rFonts w:ascii="Arial" w:hAnsi="Arial" w:cs="Arial"/>
              </w:rPr>
              <w:t>%</w:t>
            </w:r>
          </w:p>
        </w:tc>
        <w:tc>
          <w:tcPr>
            <w:tcW w:w="900" w:type="dxa"/>
            <w:vAlign w:val="bottom"/>
          </w:tcPr>
          <w:p w14:paraId="49270867" w14:textId="77777777" w:rsidR="00A87E03" w:rsidRPr="00304CAF" w:rsidRDefault="00A87E03" w:rsidP="00365A8B">
            <w:pPr>
              <w:spacing w:line="276" w:lineRule="auto"/>
              <w:jc w:val="right"/>
              <w:rPr>
                <w:rFonts w:ascii="Arial" w:hAnsi="Arial" w:cs="Arial"/>
              </w:rPr>
            </w:pPr>
            <w:r w:rsidRPr="00304CAF">
              <w:rPr>
                <w:rFonts w:ascii="Arial" w:hAnsi="Arial" w:cs="Arial"/>
              </w:rPr>
              <w:t>-3.15</w:t>
            </w:r>
            <w:r w:rsidRPr="00506949">
              <w:rPr>
                <w:rFonts w:ascii="Arial" w:hAnsi="Arial" w:cs="Arial"/>
              </w:rPr>
              <w:t>%</w:t>
            </w:r>
          </w:p>
        </w:tc>
        <w:tc>
          <w:tcPr>
            <w:tcW w:w="900" w:type="dxa"/>
            <w:noWrap/>
            <w:tcMar>
              <w:top w:w="0" w:type="dxa"/>
              <w:left w:w="108" w:type="dxa"/>
              <w:bottom w:w="0" w:type="dxa"/>
              <w:right w:w="108" w:type="dxa"/>
            </w:tcMar>
            <w:vAlign w:val="bottom"/>
            <w:hideMark/>
          </w:tcPr>
          <w:p w14:paraId="797A339D" w14:textId="77777777" w:rsidR="00A87E03" w:rsidRPr="00304CAF" w:rsidRDefault="00A87E03" w:rsidP="00365A8B">
            <w:pPr>
              <w:spacing w:line="276" w:lineRule="auto"/>
              <w:jc w:val="right"/>
              <w:rPr>
                <w:rFonts w:ascii="Arial" w:hAnsi="Arial" w:cs="Arial"/>
              </w:rPr>
            </w:pPr>
            <w:r w:rsidRPr="00304CAF">
              <w:rPr>
                <w:rFonts w:ascii="Arial" w:hAnsi="Arial" w:cs="Arial"/>
              </w:rPr>
              <w:t>-2.75</w:t>
            </w:r>
            <w:r w:rsidRPr="00506949">
              <w:rPr>
                <w:rFonts w:ascii="Arial" w:hAnsi="Arial" w:cs="Arial"/>
              </w:rPr>
              <w:t>%</w:t>
            </w:r>
          </w:p>
        </w:tc>
        <w:tc>
          <w:tcPr>
            <w:tcW w:w="810" w:type="dxa"/>
            <w:vAlign w:val="bottom"/>
          </w:tcPr>
          <w:p w14:paraId="601B0E9C" w14:textId="77777777" w:rsidR="00A87E03" w:rsidRPr="00304CAF" w:rsidRDefault="00A87E03" w:rsidP="00365A8B">
            <w:pPr>
              <w:spacing w:line="276" w:lineRule="auto"/>
              <w:jc w:val="right"/>
              <w:rPr>
                <w:rFonts w:ascii="Arial" w:hAnsi="Arial" w:cs="Arial"/>
              </w:rPr>
            </w:pPr>
            <w:r w:rsidRPr="00304CAF">
              <w:rPr>
                <w:rFonts w:ascii="Arial" w:hAnsi="Arial" w:cs="Arial"/>
              </w:rPr>
              <w:t>-4.96</w:t>
            </w:r>
            <w:r w:rsidRPr="00506949">
              <w:rPr>
                <w:rFonts w:ascii="Arial" w:hAnsi="Arial" w:cs="Arial"/>
              </w:rPr>
              <w:t>%</w:t>
            </w:r>
          </w:p>
        </w:tc>
        <w:tc>
          <w:tcPr>
            <w:tcW w:w="876" w:type="dxa"/>
            <w:vAlign w:val="bottom"/>
          </w:tcPr>
          <w:p w14:paraId="090C6B30" w14:textId="77777777" w:rsidR="00A87E03" w:rsidRPr="00304CAF" w:rsidRDefault="00A87E03" w:rsidP="00365A8B">
            <w:pPr>
              <w:spacing w:line="276" w:lineRule="auto"/>
              <w:jc w:val="right"/>
              <w:rPr>
                <w:rFonts w:ascii="Arial" w:hAnsi="Arial" w:cs="Arial"/>
              </w:rPr>
            </w:pPr>
            <w:r w:rsidRPr="00304CAF">
              <w:rPr>
                <w:rFonts w:ascii="Arial" w:hAnsi="Arial" w:cs="Arial"/>
              </w:rPr>
              <w:t>-</w:t>
            </w:r>
            <w:r>
              <w:rPr>
                <w:rFonts w:ascii="Arial" w:hAnsi="Arial" w:cs="Arial"/>
              </w:rPr>
              <w:t>5.7</w:t>
            </w:r>
            <w:r w:rsidRPr="00506949">
              <w:rPr>
                <w:rFonts w:ascii="Arial" w:hAnsi="Arial" w:cs="Arial"/>
              </w:rPr>
              <w:t>%</w:t>
            </w:r>
          </w:p>
        </w:tc>
        <w:tc>
          <w:tcPr>
            <w:tcW w:w="1340" w:type="dxa"/>
            <w:noWrap/>
            <w:tcMar>
              <w:top w:w="0" w:type="dxa"/>
              <w:left w:w="108" w:type="dxa"/>
              <w:bottom w:w="0" w:type="dxa"/>
              <w:right w:w="108" w:type="dxa"/>
            </w:tcMar>
            <w:vAlign w:val="bottom"/>
            <w:hideMark/>
          </w:tcPr>
          <w:p w14:paraId="3C78D539" w14:textId="77777777" w:rsidR="00A87E03" w:rsidRPr="00304CAF" w:rsidRDefault="00A87E03" w:rsidP="00365A8B">
            <w:pPr>
              <w:spacing w:line="276" w:lineRule="auto"/>
              <w:jc w:val="right"/>
              <w:rPr>
                <w:rFonts w:ascii="Arial" w:hAnsi="Arial" w:cs="Arial"/>
              </w:rPr>
            </w:pPr>
            <w:r w:rsidRPr="00304CAF">
              <w:rPr>
                <w:rFonts w:ascii="Arial" w:hAnsi="Arial" w:cs="Arial"/>
              </w:rPr>
              <w:t>-</w:t>
            </w:r>
            <w:r>
              <w:rPr>
                <w:rFonts w:ascii="Arial" w:hAnsi="Arial" w:cs="Arial"/>
              </w:rPr>
              <w:t>18</w:t>
            </w:r>
            <w:r w:rsidRPr="00304CAF">
              <w:rPr>
                <w:rFonts w:ascii="Arial" w:hAnsi="Arial" w:cs="Arial"/>
              </w:rPr>
              <w:t>.</w:t>
            </w:r>
            <w:r>
              <w:rPr>
                <w:rFonts w:ascii="Arial" w:hAnsi="Arial" w:cs="Arial"/>
              </w:rPr>
              <w:t>44</w:t>
            </w:r>
            <w:r w:rsidRPr="00506949">
              <w:rPr>
                <w:rFonts w:ascii="Arial" w:hAnsi="Arial" w:cs="Arial"/>
              </w:rPr>
              <w:t>%</w:t>
            </w:r>
          </w:p>
        </w:tc>
        <w:tc>
          <w:tcPr>
            <w:tcW w:w="1204" w:type="dxa"/>
            <w:noWrap/>
            <w:tcMar>
              <w:top w:w="0" w:type="dxa"/>
              <w:left w:w="108" w:type="dxa"/>
              <w:bottom w:w="0" w:type="dxa"/>
              <w:right w:w="108" w:type="dxa"/>
            </w:tcMar>
            <w:vAlign w:val="bottom"/>
            <w:hideMark/>
          </w:tcPr>
          <w:p w14:paraId="0298BBCF" w14:textId="77777777" w:rsidR="00A87E03" w:rsidRPr="00304CAF" w:rsidRDefault="00A87E03" w:rsidP="00365A8B">
            <w:pPr>
              <w:spacing w:line="276" w:lineRule="auto"/>
              <w:jc w:val="right"/>
              <w:rPr>
                <w:rFonts w:ascii="Arial" w:hAnsi="Arial" w:cs="Arial"/>
              </w:rPr>
            </w:pPr>
            <w:r w:rsidRPr="00304CAF">
              <w:rPr>
                <w:rFonts w:ascii="Arial" w:hAnsi="Arial" w:cs="Arial"/>
              </w:rPr>
              <w:t>-</w:t>
            </w:r>
            <w:r>
              <w:rPr>
                <w:rFonts w:ascii="Arial" w:hAnsi="Arial" w:cs="Arial"/>
              </w:rPr>
              <w:t>3.69</w:t>
            </w:r>
            <w:r w:rsidRPr="00506949">
              <w:rPr>
                <w:rFonts w:ascii="Arial" w:hAnsi="Arial" w:cs="Arial"/>
              </w:rPr>
              <w:t>%</w:t>
            </w:r>
          </w:p>
        </w:tc>
      </w:tr>
      <w:tr w:rsidR="00A87E03" w:rsidRPr="00506949" w14:paraId="7321D3FA" w14:textId="77777777" w:rsidTr="00365A8B">
        <w:trPr>
          <w:trHeight w:val="1178"/>
        </w:trPr>
        <w:tc>
          <w:tcPr>
            <w:tcW w:w="8825" w:type="dxa"/>
            <w:gridSpan w:val="8"/>
            <w:noWrap/>
            <w:tcMar>
              <w:top w:w="0" w:type="dxa"/>
              <w:left w:w="108" w:type="dxa"/>
              <w:bottom w:w="0" w:type="dxa"/>
              <w:right w:w="108" w:type="dxa"/>
            </w:tcMar>
            <w:vAlign w:val="bottom"/>
          </w:tcPr>
          <w:p w14:paraId="49523E03" w14:textId="1C39D09F" w:rsidR="00A87E03" w:rsidRPr="003C10B3" w:rsidRDefault="00A87E03" w:rsidP="00365A8B">
            <w:pPr>
              <w:spacing w:line="276" w:lineRule="auto"/>
              <w:ind w:left="79"/>
              <w:rPr>
                <w:i/>
                <w:iCs/>
              </w:rPr>
            </w:pPr>
            <w:r w:rsidRPr="00A43CB6">
              <w:rPr>
                <w:rFonts w:ascii="Arial" w:hAnsi="Arial" w:cs="Arial"/>
                <w:i/>
                <w:iCs/>
              </w:rPr>
              <w:t xml:space="preserve">Since 2020, reimbursement rates for pathology services have gone down by approximately </w:t>
            </w:r>
            <w:r>
              <w:rPr>
                <w:rFonts w:ascii="Arial" w:hAnsi="Arial" w:cs="Arial"/>
                <w:i/>
                <w:iCs/>
              </w:rPr>
              <w:t>4.6</w:t>
            </w:r>
            <w:r w:rsidRPr="00A43CB6">
              <w:rPr>
                <w:rFonts w:ascii="Arial" w:hAnsi="Arial" w:cs="Arial"/>
                <w:i/>
                <w:iCs/>
              </w:rPr>
              <w:t xml:space="preserve">%, while physician practice costs (medical supplies, lab personnel, professional liability insurance) have increased by nearly </w:t>
            </w:r>
            <w:r>
              <w:rPr>
                <w:rFonts w:ascii="Arial" w:hAnsi="Arial" w:cs="Arial"/>
                <w:i/>
                <w:iCs/>
              </w:rPr>
              <w:t>13.8</w:t>
            </w:r>
            <w:r w:rsidRPr="00A43CB6">
              <w:rPr>
                <w:rFonts w:ascii="Arial" w:hAnsi="Arial" w:cs="Arial"/>
                <w:i/>
                <w:iCs/>
              </w:rPr>
              <w:t xml:space="preserve">% over the same timeframe. In 2024 alone, pathologists are </w:t>
            </w:r>
            <w:r w:rsidRPr="00B66093">
              <w:rPr>
                <w:rFonts w:ascii="Arial" w:hAnsi="Arial" w:cs="Arial"/>
                <w:i/>
                <w:iCs/>
              </w:rPr>
              <w:t>anticipated a</w:t>
            </w:r>
            <w:r w:rsidR="007529D2" w:rsidRPr="00B66093">
              <w:rPr>
                <w:rFonts w:ascii="Arial" w:hAnsi="Arial" w:cs="Arial"/>
                <w:i/>
                <w:iCs/>
              </w:rPr>
              <w:t xml:space="preserve"> net</w:t>
            </w:r>
            <w:r w:rsidRPr="00B66093">
              <w:rPr>
                <w:rFonts w:ascii="Arial" w:hAnsi="Arial" w:cs="Arial"/>
                <w:i/>
                <w:iCs/>
              </w:rPr>
              <w:t xml:space="preserve"> 5.7% reduction </w:t>
            </w:r>
            <w:r w:rsidR="007529D2" w:rsidRPr="00B66093">
              <w:rPr>
                <w:rFonts w:ascii="Arial" w:hAnsi="Arial" w:cs="Arial"/>
                <w:i/>
                <w:iCs/>
              </w:rPr>
              <w:t xml:space="preserve">in Medicare Physician Fee Schedule </w:t>
            </w:r>
            <w:r w:rsidR="00B66093">
              <w:rPr>
                <w:rFonts w:ascii="Arial" w:hAnsi="Arial" w:cs="Arial"/>
                <w:i/>
                <w:iCs/>
              </w:rPr>
              <w:t>reimbursement</w:t>
            </w:r>
            <w:r w:rsidR="007529D2" w:rsidRPr="00B66093">
              <w:rPr>
                <w:rFonts w:ascii="Arial" w:hAnsi="Arial" w:cs="Arial"/>
                <w:i/>
                <w:iCs/>
              </w:rPr>
              <w:t xml:space="preserve"> </w:t>
            </w:r>
            <w:r w:rsidRPr="00B66093">
              <w:rPr>
                <w:rFonts w:ascii="Arial" w:hAnsi="Arial" w:cs="Arial"/>
                <w:i/>
                <w:iCs/>
              </w:rPr>
              <w:t xml:space="preserve">as </w:t>
            </w:r>
            <w:r w:rsidR="00C54C5C" w:rsidRPr="00B66093">
              <w:rPr>
                <w:rFonts w:ascii="Arial" w:hAnsi="Arial" w:cs="Arial"/>
                <w:i/>
                <w:iCs/>
              </w:rPr>
              <w:t>payments</w:t>
            </w:r>
            <w:r w:rsidRPr="00B66093">
              <w:rPr>
                <w:rFonts w:ascii="Arial" w:hAnsi="Arial" w:cs="Arial"/>
                <w:i/>
                <w:iCs/>
              </w:rPr>
              <w:t xml:space="preserve"> are expected to fall by 1.1% while costs</w:t>
            </w:r>
            <w:r w:rsidR="00C54C5C" w:rsidRPr="00B66093">
              <w:rPr>
                <w:rFonts w:ascii="Arial" w:hAnsi="Arial" w:cs="Arial"/>
                <w:i/>
                <w:iCs/>
              </w:rPr>
              <w:t xml:space="preserve"> are expected to</w:t>
            </w:r>
            <w:r w:rsidRPr="00B66093">
              <w:rPr>
                <w:rFonts w:ascii="Arial" w:hAnsi="Arial" w:cs="Arial"/>
                <w:i/>
                <w:iCs/>
              </w:rPr>
              <w:t xml:space="preserve"> rise by 4.6%. Currently, it is too early to predict an MEI for 2025. Therefore, it is not included in above chart.</w:t>
            </w:r>
            <w:r w:rsidR="00365A8B">
              <w:rPr>
                <w:rFonts w:ascii="Arial" w:hAnsi="Arial" w:cs="Arial"/>
                <w:i/>
                <w:iCs/>
              </w:rPr>
              <w:t xml:space="preserve"> </w:t>
            </w:r>
          </w:p>
        </w:tc>
      </w:tr>
    </w:tbl>
    <w:p w14:paraId="4188AA36" w14:textId="77777777" w:rsidR="00A87E03" w:rsidRDefault="00A87E03" w:rsidP="00365A8B">
      <w:pPr>
        <w:spacing w:line="276" w:lineRule="auto"/>
        <w:rPr>
          <w:rFonts w:ascii="Arial" w:hAnsi="Arial" w:cs="Arial"/>
          <w:color w:val="000000" w:themeColor="text1"/>
          <w:szCs w:val="20"/>
        </w:rPr>
      </w:pPr>
    </w:p>
    <w:p w14:paraId="7AE0F72E" w14:textId="1D3E3D13" w:rsidR="00E724A9" w:rsidRPr="00E724A9" w:rsidRDefault="00E724A9" w:rsidP="00365A8B">
      <w:pPr>
        <w:pStyle w:val="Default"/>
        <w:rPr>
          <w:rFonts w:ascii="Arial" w:hAnsi="Arial" w:cs="Arial"/>
          <w:b/>
          <w:bCs/>
          <w:color w:val="000000" w:themeColor="text1"/>
          <w:sz w:val="20"/>
          <w:szCs w:val="20"/>
        </w:rPr>
      </w:pPr>
      <w:bookmarkStart w:id="1" w:name="_Hlk146185381"/>
      <w:r>
        <w:rPr>
          <w:rFonts w:ascii="Arial" w:hAnsi="Arial" w:cs="Arial"/>
          <w:b/>
          <w:bCs/>
          <w:color w:val="000000" w:themeColor="text1"/>
          <w:sz w:val="20"/>
          <w:szCs w:val="20"/>
        </w:rPr>
        <w:t xml:space="preserve">Budget Neutrality </w:t>
      </w:r>
    </w:p>
    <w:p w14:paraId="2377895D" w14:textId="77777777" w:rsidR="00E724A9" w:rsidRPr="00E724A9" w:rsidRDefault="00E724A9" w:rsidP="00365A8B">
      <w:pPr>
        <w:pStyle w:val="Default"/>
        <w:rPr>
          <w:rFonts w:ascii="Arial" w:hAnsi="Arial" w:cs="Arial"/>
          <w:color w:val="000000" w:themeColor="text1"/>
          <w:sz w:val="20"/>
          <w:szCs w:val="20"/>
        </w:rPr>
      </w:pPr>
      <w:r w:rsidRPr="00E724A9">
        <w:rPr>
          <w:rFonts w:ascii="Arial" w:hAnsi="Arial" w:cs="Arial"/>
          <w:color w:val="000000" w:themeColor="text1"/>
          <w:sz w:val="20"/>
          <w:szCs w:val="20"/>
        </w:rPr>
        <w:t xml:space="preserve">Budget neutrality is another barrier to achieving high-quality, high-value health care. These requirements lead to arbitrary reductions in reimbursement unrelated to the cost of providing care, forcing physicians and other health care providers into adversarial roles, leading to an unpredictable reimbursement system from year to year. The CAP acknowledges that budget neutrality is a politically appealing option to control rising health care costs. However, the CAP urges Congress to think more creatively and expansively about ways to manage health care costs which do not generate such significant instability for health care providers, threatening beneficiary access to essential health care services. </w:t>
      </w:r>
    </w:p>
    <w:p w14:paraId="3BDD6CC2" w14:textId="77777777" w:rsidR="00E724A9" w:rsidRPr="00E724A9" w:rsidRDefault="00E724A9" w:rsidP="00365A8B">
      <w:pPr>
        <w:pStyle w:val="Default"/>
        <w:rPr>
          <w:rFonts w:ascii="Arial" w:hAnsi="Arial" w:cs="Arial"/>
          <w:color w:val="000000" w:themeColor="text1"/>
          <w:sz w:val="20"/>
          <w:szCs w:val="20"/>
        </w:rPr>
      </w:pPr>
    </w:p>
    <w:p w14:paraId="0F12B9D7" w14:textId="2B395CFC" w:rsidR="00E724A9" w:rsidRPr="00E724A9" w:rsidRDefault="00C54C5C" w:rsidP="00365A8B">
      <w:pPr>
        <w:pStyle w:val="Default"/>
        <w:rPr>
          <w:rFonts w:ascii="Arial" w:hAnsi="Arial" w:cs="Arial"/>
          <w:color w:val="000000" w:themeColor="text1"/>
          <w:sz w:val="20"/>
          <w:szCs w:val="20"/>
        </w:rPr>
      </w:pPr>
      <w:r w:rsidRPr="00C54C5C">
        <w:rPr>
          <w:rFonts w:ascii="Arial" w:hAnsi="Arial" w:cs="Arial"/>
          <w:color w:val="000000" w:themeColor="text1"/>
          <w:sz w:val="20"/>
          <w:szCs w:val="20"/>
        </w:rPr>
        <w:t xml:space="preserve">Because of the continuous reimbursement cuts caused by the physician fee schedule’s budget neutrality requirements and the lack of an inflationary update, the cost of providing patient care is becoming unsustainable. As costs exceed revenues, laboratory workforce shortages will worsen. The result: increased wait times in the emergency department, longer time before receiving a diagnosis of cancer, potential for increased errors in testing and delays in specimen collection and turnaround time for laboratory results. </w:t>
      </w:r>
      <w:r w:rsidR="00E724A9" w:rsidRPr="0071367B">
        <w:rPr>
          <w:rFonts w:ascii="Arial" w:hAnsi="Arial" w:cs="Arial"/>
          <w:b/>
          <w:bCs/>
          <w:color w:val="000000" w:themeColor="text1"/>
          <w:sz w:val="20"/>
          <w:szCs w:val="20"/>
        </w:rPr>
        <w:t xml:space="preserve">Therefore, the CAP requests that the Committee </w:t>
      </w:r>
      <w:r w:rsidR="006B5C3B" w:rsidRPr="0071367B">
        <w:rPr>
          <w:rFonts w:ascii="Arial" w:hAnsi="Arial" w:cs="Arial"/>
          <w:b/>
          <w:bCs/>
          <w:color w:val="000000" w:themeColor="text1"/>
          <w:sz w:val="20"/>
          <w:szCs w:val="20"/>
        </w:rPr>
        <w:t>pass legislation to eliminate, revise, or replace the budget neutrality requirements in Medicare.</w:t>
      </w:r>
    </w:p>
    <w:p w14:paraId="54C9E3DC" w14:textId="77777777" w:rsidR="00E724A9" w:rsidRDefault="00E724A9" w:rsidP="00365A8B">
      <w:pPr>
        <w:pStyle w:val="Default"/>
        <w:rPr>
          <w:rFonts w:ascii="Arial" w:hAnsi="Arial" w:cs="Arial"/>
          <w:b/>
          <w:bCs/>
          <w:color w:val="000000" w:themeColor="text1"/>
          <w:sz w:val="20"/>
          <w:szCs w:val="20"/>
        </w:rPr>
      </w:pPr>
    </w:p>
    <w:p w14:paraId="3C5DEC0A" w14:textId="5C7021B4" w:rsidR="00A87E03" w:rsidRPr="004C7E1B" w:rsidRDefault="00A87E03" w:rsidP="00365A8B">
      <w:pPr>
        <w:pStyle w:val="Default"/>
        <w:rPr>
          <w:rFonts w:ascii="Arial" w:hAnsi="Arial" w:cs="Arial"/>
          <w:b/>
          <w:bCs/>
          <w:color w:val="000000" w:themeColor="text1"/>
          <w:sz w:val="20"/>
          <w:szCs w:val="20"/>
        </w:rPr>
      </w:pPr>
      <w:r w:rsidRPr="004C7E1B">
        <w:rPr>
          <w:rFonts w:ascii="Arial" w:hAnsi="Arial" w:cs="Arial"/>
          <w:b/>
          <w:bCs/>
          <w:color w:val="000000" w:themeColor="text1"/>
          <w:sz w:val="20"/>
          <w:szCs w:val="20"/>
        </w:rPr>
        <w:t>Effectiveness of MACRA</w:t>
      </w:r>
      <w:bookmarkEnd w:id="1"/>
    </w:p>
    <w:p w14:paraId="7A3515EB" w14:textId="77777777" w:rsidR="00A87E03" w:rsidRPr="005B3CFB" w:rsidRDefault="00A87E03" w:rsidP="00365A8B">
      <w:pPr>
        <w:autoSpaceDE w:val="0"/>
        <w:autoSpaceDN w:val="0"/>
        <w:adjustRightInd w:val="0"/>
        <w:spacing w:line="276" w:lineRule="auto"/>
        <w:rPr>
          <w:rFonts w:ascii="Arial" w:hAnsi="Arial" w:cs="Arial"/>
          <w:color w:val="000000" w:themeColor="text1"/>
          <w:szCs w:val="20"/>
        </w:rPr>
      </w:pPr>
      <w:r w:rsidRPr="005B3CFB">
        <w:rPr>
          <w:rFonts w:ascii="Arial" w:hAnsi="Arial" w:cs="Arial"/>
          <w:color w:val="000000" w:themeColor="text1"/>
          <w:szCs w:val="20"/>
        </w:rPr>
        <w:t>MACRA was originally passed to end a cycle of Medicare payment cuts and reward value-based care, yet today we are faced with continued financial instability within the Medicare physician payment system and value-based care that is not incentivized or attainable for most physicians.</w:t>
      </w:r>
    </w:p>
    <w:p w14:paraId="6196D3DA" w14:textId="77777777" w:rsidR="00A87E03" w:rsidRPr="005B3CFB" w:rsidRDefault="00A87E03" w:rsidP="00365A8B">
      <w:pPr>
        <w:autoSpaceDE w:val="0"/>
        <w:autoSpaceDN w:val="0"/>
        <w:adjustRightInd w:val="0"/>
        <w:spacing w:line="276" w:lineRule="auto"/>
        <w:rPr>
          <w:rFonts w:ascii="Arial" w:hAnsi="Arial" w:cs="Arial"/>
          <w:color w:val="000000" w:themeColor="text1"/>
          <w:szCs w:val="20"/>
        </w:rPr>
      </w:pPr>
    </w:p>
    <w:p w14:paraId="724A3938" w14:textId="2252485B" w:rsidR="00A87E03" w:rsidRDefault="00F74ED2" w:rsidP="00365A8B">
      <w:pPr>
        <w:pStyle w:val="Default"/>
        <w:rPr>
          <w:rFonts w:ascii="Arial" w:hAnsi="Arial" w:cs="Arial"/>
          <w:sz w:val="20"/>
          <w:szCs w:val="20"/>
        </w:rPr>
      </w:pPr>
      <w:r>
        <w:rPr>
          <w:rFonts w:ascii="Arial" w:hAnsi="Arial" w:cs="Arial"/>
          <w:color w:val="000000" w:themeColor="text1"/>
          <w:sz w:val="20"/>
          <w:szCs w:val="20"/>
        </w:rPr>
        <w:t>There</w:t>
      </w:r>
      <w:r w:rsidR="00A87E03" w:rsidRPr="005B3CFB">
        <w:rPr>
          <w:rFonts w:ascii="Arial" w:hAnsi="Arial" w:cs="Arial"/>
          <w:color w:val="000000" w:themeColor="text1"/>
          <w:sz w:val="20"/>
          <w:szCs w:val="20"/>
        </w:rPr>
        <w:t xml:space="preserve"> has been a chorus of dissatisfaction with the Merit-based Incentive Payment System (MIPS). The </w:t>
      </w:r>
      <w:r w:rsidR="00A87E03" w:rsidRPr="005B3CFB">
        <w:rPr>
          <w:rFonts w:ascii="Arial" w:hAnsi="Arial" w:cs="Arial"/>
          <w:sz w:val="20"/>
          <w:szCs w:val="20"/>
        </w:rPr>
        <w:t>Medicare Payment Advisory Commission (MedPAC) has questioned the value of the MIPS program due to its design and measurement methods.</w:t>
      </w:r>
      <w:r w:rsidR="00A87E03" w:rsidRPr="005B3CFB">
        <w:rPr>
          <w:rFonts w:ascii="Arial" w:hAnsi="Arial" w:cs="Arial"/>
          <w:color w:val="000000" w:themeColor="text1"/>
          <w:sz w:val="20"/>
          <w:szCs w:val="20"/>
        </w:rPr>
        <w:t xml:space="preserve"> Indeed, the Government Accounting Office’s (GAO) 2021 report on </w:t>
      </w:r>
      <w:r w:rsidR="00A87E03" w:rsidRPr="005B3CFB">
        <w:rPr>
          <w:rFonts w:ascii="Arial" w:hAnsi="Arial" w:cs="Arial"/>
          <w:i/>
          <w:iCs/>
          <w:sz w:val="20"/>
          <w:szCs w:val="20"/>
        </w:rPr>
        <w:t>Provider Performance and Experiences under the Merit-based Incentive Payment System</w:t>
      </w:r>
      <w:r w:rsidR="00A87E03" w:rsidRPr="005B3CFB">
        <w:rPr>
          <w:rFonts w:ascii="Arial" w:hAnsi="Arial" w:cs="Arial"/>
          <w:sz w:val="20"/>
          <w:szCs w:val="20"/>
        </w:rPr>
        <w:t xml:space="preserve"> described many of the challenges physicians experience in the MIPS program, </w:t>
      </w:r>
      <w:r w:rsidR="00A87E03" w:rsidRPr="005B3CFB">
        <w:rPr>
          <w:rFonts w:ascii="Arial" w:hAnsi="Arial" w:cs="Arial"/>
          <w:sz w:val="20"/>
          <w:szCs w:val="20"/>
        </w:rPr>
        <w:lastRenderedPageBreak/>
        <w:t>including the question of whether MIPS meaningfully improved quality of care or patient outcomes. It further indicated that the design of the program may incentivize reporting over quality improvement. CMS’</w:t>
      </w:r>
      <w:r w:rsidR="00A87E03">
        <w:rPr>
          <w:rFonts w:ascii="Arial" w:hAnsi="Arial" w:cs="Arial"/>
          <w:sz w:val="20"/>
          <w:szCs w:val="20"/>
        </w:rPr>
        <w:t>s</w:t>
      </w:r>
      <w:r w:rsidR="00A87E03" w:rsidRPr="005B3CFB">
        <w:rPr>
          <w:rFonts w:ascii="Arial" w:hAnsi="Arial" w:cs="Arial"/>
          <w:sz w:val="20"/>
          <w:szCs w:val="20"/>
        </w:rPr>
        <w:t xml:space="preserve"> response to the GAO report was that a new pathway in MIPS, called MIPS Value Pathways (MVPs) would address many of these challenges. </w:t>
      </w:r>
      <w:r w:rsidR="0033788D">
        <w:rPr>
          <w:rFonts w:ascii="Arial" w:hAnsi="Arial" w:cs="Arial"/>
          <w:sz w:val="20"/>
          <w:szCs w:val="20"/>
        </w:rPr>
        <w:t xml:space="preserve">Unfortunately, both the MIPS and MVP quality programs continue to pose challenges, </w:t>
      </w:r>
      <w:r w:rsidR="0033788D" w:rsidRPr="00B66093">
        <w:rPr>
          <w:rFonts w:ascii="Arial" w:hAnsi="Arial" w:cs="Arial"/>
          <w:sz w:val="20"/>
          <w:szCs w:val="20"/>
        </w:rPr>
        <w:t>including for the care of chronic conditions. Alternative</w:t>
      </w:r>
      <w:r w:rsidR="0033788D">
        <w:rPr>
          <w:rFonts w:ascii="Arial" w:hAnsi="Arial" w:cs="Arial"/>
          <w:sz w:val="20"/>
          <w:szCs w:val="20"/>
        </w:rPr>
        <w:t xml:space="preserve"> payment models (APMs) have similar issues, while the burden of data entry and other administrative requirements continue to impede the effectiveness of MACRA instead of improving care for patients.</w:t>
      </w:r>
    </w:p>
    <w:p w14:paraId="3F13F765" w14:textId="77777777" w:rsidR="009F2C39" w:rsidRDefault="009F2C39" w:rsidP="00365A8B">
      <w:pPr>
        <w:pStyle w:val="Default"/>
        <w:rPr>
          <w:rFonts w:ascii="Arial" w:hAnsi="Arial" w:cs="Arial"/>
          <w:sz w:val="20"/>
          <w:szCs w:val="20"/>
        </w:rPr>
      </w:pPr>
    </w:p>
    <w:p w14:paraId="0B3CBEAA" w14:textId="634A7BC7" w:rsidR="009F2C39" w:rsidRPr="009F2C39" w:rsidRDefault="009F2C39" w:rsidP="00365A8B">
      <w:pPr>
        <w:pStyle w:val="Default"/>
        <w:numPr>
          <w:ilvl w:val="0"/>
          <w:numId w:val="24"/>
        </w:numPr>
        <w:rPr>
          <w:rFonts w:ascii="Arial" w:hAnsi="Arial" w:cs="Arial"/>
          <w:b/>
          <w:bCs/>
          <w:sz w:val="20"/>
          <w:szCs w:val="20"/>
        </w:rPr>
      </w:pPr>
      <w:r w:rsidRPr="009F2C39">
        <w:rPr>
          <w:rFonts w:ascii="Arial" w:hAnsi="Arial" w:cs="Arial"/>
          <w:b/>
          <w:bCs/>
          <w:sz w:val="20"/>
          <w:szCs w:val="20"/>
        </w:rPr>
        <w:t xml:space="preserve">Quality Programs </w:t>
      </w:r>
    </w:p>
    <w:p w14:paraId="016105CE" w14:textId="7051F7E0" w:rsidR="009F2C39" w:rsidRPr="00F74ED2" w:rsidRDefault="009F2C39" w:rsidP="007E2C33">
      <w:pPr>
        <w:spacing w:line="276" w:lineRule="auto"/>
        <w:ind w:left="720"/>
        <w:contextualSpacing/>
        <w:rPr>
          <w:rFonts w:ascii="Arial" w:eastAsiaTheme="minorHAnsi" w:hAnsi="Arial" w:cs="Arial"/>
          <w:szCs w:val="20"/>
        </w:rPr>
      </w:pPr>
      <w:r w:rsidRPr="00F74ED2">
        <w:rPr>
          <w:rFonts w:ascii="Arial" w:eastAsiaTheme="minorHAnsi" w:hAnsi="Arial" w:cs="Arial"/>
          <w:szCs w:val="20"/>
        </w:rPr>
        <w:t xml:space="preserve">The MIPS </w:t>
      </w:r>
      <w:r>
        <w:rPr>
          <w:rFonts w:ascii="Arial" w:eastAsiaTheme="minorHAnsi" w:hAnsi="Arial" w:cs="Arial"/>
          <w:szCs w:val="20"/>
        </w:rPr>
        <w:t xml:space="preserve">and MVP </w:t>
      </w:r>
      <w:r w:rsidRPr="00F74ED2">
        <w:rPr>
          <w:rFonts w:ascii="Arial" w:eastAsiaTheme="minorHAnsi" w:hAnsi="Arial" w:cs="Arial"/>
          <w:szCs w:val="20"/>
        </w:rPr>
        <w:t>program</w:t>
      </w:r>
      <w:r>
        <w:rPr>
          <w:rFonts w:ascii="Arial" w:eastAsiaTheme="minorHAnsi" w:hAnsi="Arial" w:cs="Arial"/>
          <w:szCs w:val="20"/>
        </w:rPr>
        <w:t>s</w:t>
      </w:r>
      <w:r w:rsidRPr="00F74ED2">
        <w:rPr>
          <w:rFonts w:ascii="Arial" w:eastAsiaTheme="minorHAnsi" w:hAnsi="Arial" w:cs="Arial"/>
          <w:szCs w:val="20"/>
        </w:rPr>
        <w:t xml:space="preserve"> </w:t>
      </w:r>
      <w:r>
        <w:rPr>
          <w:rFonts w:ascii="Arial" w:eastAsiaTheme="minorHAnsi" w:hAnsi="Arial" w:cs="Arial"/>
          <w:szCs w:val="20"/>
        </w:rPr>
        <w:t>i</w:t>
      </w:r>
      <w:r w:rsidRPr="00F74ED2">
        <w:rPr>
          <w:rFonts w:ascii="Arial" w:eastAsiaTheme="minorHAnsi" w:hAnsi="Arial" w:cs="Arial"/>
          <w:szCs w:val="20"/>
        </w:rPr>
        <w:t>ncentivize silos of care rather than rewarding integration of the care team. Because CMS scores individual clinicians on quality measures that apply only to individuals, there is no incentive to foster collaboration. The proposed future of MIPS, MIPS Value Pathways or MVPs, exacerbate this problem because most current and proposed MVPs are specialty-specific rather than condition or procedure-specific. For instance, instead of a Melanoma MVP that includes quality measures for the entire care team (primary care clinicians, pathologists, dermatologists, Mohs’ surgeons, etc</w:t>
      </w:r>
      <w:r w:rsidR="00872357">
        <w:rPr>
          <w:rFonts w:ascii="Arial" w:eastAsiaTheme="minorHAnsi" w:hAnsi="Arial" w:cs="Arial"/>
          <w:szCs w:val="20"/>
        </w:rPr>
        <w:t>.</w:t>
      </w:r>
      <w:r w:rsidRPr="00F74ED2">
        <w:rPr>
          <w:rFonts w:ascii="Arial" w:eastAsiaTheme="minorHAnsi" w:hAnsi="Arial" w:cs="Arial"/>
          <w:szCs w:val="20"/>
        </w:rPr>
        <w:t>), the Dermatological Care MVP includes quality measures for a variety of unrelated dermatological conditions. Thus, only dermatologists are eligible for this MVP and the disparate quality measures within it do not incentivize collaboration among dermatologists.</w:t>
      </w:r>
    </w:p>
    <w:p w14:paraId="022873A6" w14:textId="77777777" w:rsidR="009F2C39" w:rsidRPr="00F74ED2" w:rsidRDefault="009F2C39" w:rsidP="007E2C33">
      <w:pPr>
        <w:spacing w:line="276" w:lineRule="auto"/>
        <w:ind w:left="720"/>
        <w:contextualSpacing/>
        <w:rPr>
          <w:rFonts w:ascii="Arial" w:eastAsiaTheme="minorHAnsi" w:hAnsi="Arial" w:cs="Arial"/>
          <w:szCs w:val="20"/>
        </w:rPr>
      </w:pPr>
    </w:p>
    <w:p w14:paraId="64E9698A" w14:textId="77777777" w:rsidR="009F2C39" w:rsidRPr="00F74ED2" w:rsidRDefault="009F2C39" w:rsidP="007E2C33">
      <w:pPr>
        <w:spacing w:line="276" w:lineRule="auto"/>
        <w:ind w:left="720"/>
        <w:contextualSpacing/>
        <w:rPr>
          <w:rFonts w:ascii="Arial" w:eastAsiaTheme="minorHAnsi" w:hAnsi="Arial" w:cs="Arial"/>
          <w:szCs w:val="20"/>
        </w:rPr>
      </w:pPr>
      <w:r w:rsidRPr="00B66093">
        <w:rPr>
          <w:rFonts w:ascii="Arial" w:eastAsiaTheme="minorHAnsi" w:hAnsi="Arial" w:cs="Arial"/>
          <w:szCs w:val="20"/>
        </w:rPr>
        <w:t>This problem is even worse for patients with chronic conditions who may require ongoing and episodic care; integration among the care team is even more important for these beneficiaries. However, the MIPS program only permits quality measures that cover a single calendar year, which does not align with how patients with chronic conditions experience care.</w:t>
      </w:r>
    </w:p>
    <w:p w14:paraId="6982CE59" w14:textId="77777777" w:rsidR="009F2C39" w:rsidRPr="00F74ED2" w:rsidRDefault="009F2C39" w:rsidP="007E2C33">
      <w:pPr>
        <w:spacing w:line="276" w:lineRule="auto"/>
        <w:ind w:left="720"/>
        <w:contextualSpacing/>
        <w:rPr>
          <w:rFonts w:ascii="Arial" w:eastAsiaTheme="minorHAnsi" w:hAnsi="Arial" w:cs="Arial"/>
          <w:szCs w:val="20"/>
        </w:rPr>
      </w:pPr>
    </w:p>
    <w:p w14:paraId="5A331D8C" w14:textId="58B24452" w:rsidR="009F2C39" w:rsidRPr="00F74ED2" w:rsidRDefault="009F2C39" w:rsidP="00457389">
      <w:pPr>
        <w:spacing w:line="276" w:lineRule="auto"/>
        <w:ind w:left="720"/>
        <w:contextualSpacing/>
        <w:rPr>
          <w:rFonts w:ascii="Arial" w:eastAsiaTheme="minorHAnsi" w:hAnsi="Arial" w:cs="Arial"/>
          <w:szCs w:val="20"/>
        </w:rPr>
      </w:pPr>
      <w:r w:rsidRPr="00B66093">
        <w:rPr>
          <w:rFonts w:ascii="Arial" w:eastAsiaTheme="minorHAnsi" w:hAnsi="Arial" w:cs="Arial"/>
          <w:szCs w:val="20"/>
        </w:rPr>
        <w:t>CMS should not remove or disincentivize process measures, especially for patients with chronic conditions. Since outcomes may be few and far between for these patients (e.g. diabetes will never be fully resolved for a patient), process measures are critical to ensure patients are receiving appropriate ongoing care. While we understand CMS’ desire to measure outcomes, under the belief that is what matters most to patients, for chronic conditions especially, process measures are critical.</w:t>
      </w:r>
    </w:p>
    <w:p w14:paraId="26F86262" w14:textId="77777777" w:rsidR="009F2C39" w:rsidRDefault="009F2C39" w:rsidP="007E2C33">
      <w:pPr>
        <w:pStyle w:val="Default"/>
        <w:ind w:left="720"/>
        <w:rPr>
          <w:rFonts w:ascii="Arial" w:hAnsi="Arial" w:cs="Arial"/>
          <w:sz w:val="20"/>
          <w:szCs w:val="20"/>
        </w:rPr>
      </w:pPr>
    </w:p>
    <w:p w14:paraId="2CB391D9" w14:textId="6FC882F8" w:rsidR="00A87E03" w:rsidRPr="005B3CFB" w:rsidRDefault="009F2C39" w:rsidP="007E2C33">
      <w:pPr>
        <w:autoSpaceDE w:val="0"/>
        <w:autoSpaceDN w:val="0"/>
        <w:adjustRightInd w:val="0"/>
        <w:spacing w:line="276" w:lineRule="auto"/>
        <w:ind w:left="720"/>
        <w:rPr>
          <w:rFonts w:ascii="Arial" w:hAnsi="Arial" w:cs="Arial"/>
          <w:color w:val="000000"/>
          <w:szCs w:val="20"/>
        </w:rPr>
      </w:pPr>
      <w:r>
        <w:rPr>
          <w:rFonts w:ascii="Arial" w:hAnsi="Arial" w:cs="Arial"/>
          <w:color w:val="000000"/>
          <w:szCs w:val="20"/>
        </w:rPr>
        <w:t>Further</w:t>
      </w:r>
      <w:r w:rsidR="00A87E03" w:rsidRPr="005B3CFB">
        <w:rPr>
          <w:rFonts w:ascii="Arial" w:hAnsi="Arial" w:cs="Arial"/>
          <w:color w:val="000000"/>
          <w:szCs w:val="20"/>
        </w:rPr>
        <w:t xml:space="preserve">, the CMS-proposed “upsides” of MIPS participation have not materialized, even for the highest performers. The seemingly promised 9 percent potential positive payment adjustments in return for flat PFS have not </w:t>
      </w:r>
      <w:r w:rsidR="002B4516">
        <w:rPr>
          <w:rFonts w:ascii="Arial" w:hAnsi="Arial" w:cs="Arial"/>
          <w:color w:val="000000"/>
          <w:szCs w:val="20"/>
        </w:rPr>
        <w:t>been realized</w:t>
      </w:r>
      <w:r w:rsidR="002B4516" w:rsidRPr="005B3CFB">
        <w:rPr>
          <w:rFonts w:ascii="Arial" w:hAnsi="Arial" w:cs="Arial"/>
          <w:color w:val="000000"/>
          <w:szCs w:val="20"/>
        </w:rPr>
        <w:t xml:space="preserve"> </w:t>
      </w:r>
      <w:r w:rsidR="00A87E03" w:rsidRPr="005B3CFB">
        <w:rPr>
          <w:rFonts w:ascii="Arial" w:hAnsi="Arial" w:cs="Arial"/>
          <w:color w:val="000000"/>
          <w:szCs w:val="20"/>
        </w:rPr>
        <w:t xml:space="preserve">and the cost and burden of participation in MIPS has been higher than anticipated. Thus, </w:t>
      </w:r>
      <w:r w:rsidR="00A87E03" w:rsidRPr="005B3CFB">
        <w:rPr>
          <w:rFonts w:ascii="Arial" w:eastAsia="Times New Roman" w:hAnsi="Arial" w:cs="Arial"/>
          <w:color w:val="000000"/>
          <w:szCs w:val="20"/>
        </w:rPr>
        <w:t>within MIPS, the administrative and financial burden of participating far outweighs any marginal improvements in cost and quality that could possibly be ascribed to MIPS participation.</w:t>
      </w:r>
    </w:p>
    <w:p w14:paraId="7FEF0333" w14:textId="77777777" w:rsidR="00A87E03" w:rsidRDefault="00A87E03" w:rsidP="00365A8B">
      <w:pPr>
        <w:autoSpaceDE w:val="0"/>
        <w:autoSpaceDN w:val="0"/>
        <w:adjustRightInd w:val="0"/>
        <w:spacing w:line="276" w:lineRule="auto"/>
        <w:rPr>
          <w:rFonts w:ascii="Arial" w:hAnsi="Arial" w:cs="Arial"/>
          <w:color w:val="000000"/>
          <w:szCs w:val="20"/>
        </w:rPr>
      </w:pPr>
    </w:p>
    <w:p w14:paraId="097A7576" w14:textId="2E9CDDA0" w:rsidR="009F2C39" w:rsidRPr="009F2C39" w:rsidRDefault="009F2C39" w:rsidP="00365A8B">
      <w:pPr>
        <w:pStyle w:val="ListParagraph"/>
        <w:numPr>
          <w:ilvl w:val="0"/>
          <w:numId w:val="24"/>
        </w:numPr>
        <w:autoSpaceDE w:val="0"/>
        <w:autoSpaceDN w:val="0"/>
        <w:adjustRightInd w:val="0"/>
        <w:spacing w:line="276" w:lineRule="auto"/>
        <w:rPr>
          <w:rFonts w:ascii="Arial" w:hAnsi="Arial" w:cs="Arial"/>
          <w:b/>
          <w:bCs/>
          <w:color w:val="000000"/>
          <w:szCs w:val="20"/>
        </w:rPr>
      </w:pPr>
      <w:r w:rsidRPr="009F2C39">
        <w:rPr>
          <w:rFonts w:ascii="Arial" w:hAnsi="Arial" w:cs="Arial"/>
          <w:b/>
          <w:bCs/>
          <w:color w:val="000000"/>
          <w:szCs w:val="20"/>
        </w:rPr>
        <w:t>Advanced Alternative Payment Model (APM)</w:t>
      </w:r>
    </w:p>
    <w:p w14:paraId="0F5AC5C6" w14:textId="7A5566EA" w:rsidR="00A87E03" w:rsidRPr="005B3CFB" w:rsidRDefault="00A87E03" w:rsidP="007E2C33">
      <w:pPr>
        <w:autoSpaceDE w:val="0"/>
        <w:autoSpaceDN w:val="0"/>
        <w:adjustRightInd w:val="0"/>
        <w:spacing w:line="276" w:lineRule="auto"/>
        <w:ind w:left="720"/>
        <w:rPr>
          <w:rFonts w:ascii="Arial" w:eastAsia="Times New Roman" w:hAnsi="Arial" w:cs="Arial"/>
          <w:szCs w:val="20"/>
        </w:rPr>
      </w:pPr>
      <w:r w:rsidRPr="005B3CFB">
        <w:rPr>
          <w:rFonts w:ascii="Arial" w:hAnsi="Arial" w:cs="Arial"/>
          <w:color w:val="000000"/>
          <w:szCs w:val="20"/>
        </w:rPr>
        <w:t xml:space="preserve">Within the APM track, there is an equivalent lack of meaningful results, with increased and unnecessary complexity built into the system. </w:t>
      </w:r>
      <w:r w:rsidRPr="005B3CFB">
        <w:rPr>
          <w:rFonts w:ascii="Arial" w:eastAsia="Times New Roman" w:hAnsi="Arial" w:cs="Arial"/>
          <w:szCs w:val="20"/>
        </w:rPr>
        <w:t xml:space="preserve">CMS recently acknowledged in its own </w:t>
      </w:r>
      <w:r w:rsidRPr="005B3CFB">
        <w:rPr>
          <w:rFonts w:ascii="Arial" w:hAnsi="Arial" w:cs="Arial"/>
          <w:i/>
          <w:iCs/>
          <w:szCs w:val="20"/>
        </w:rPr>
        <w:t>Synthesis of Evaluation Results across 21 Medicare Models, 2012-2020</w:t>
      </w:r>
      <w:r w:rsidRPr="005B3CFB">
        <w:rPr>
          <w:rFonts w:ascii="Arial" w:hAnsi="Arial" w:cs="Arial"/>
          <w:szCs w:val="20"/>
        </w:rPr>
        <w:t xml:space="preserve"> </w:t>
      </w:r>
      <w:r w:rsidRPr="005B3CFB">
        <w:rPr>
          <w:rFonts w:ascii="Arial" w:eastAsia="Times New Roman" w:hAnsi="Arial" w:cs="Arial"/>
          <w:szCs w:val="20"/>
        </w:rPr>
        <w:t xml:space="preserve">that most of the </w:t>
      </w:r>
      <w:r w:rsidRPr="005B3CFB">
        <w:rPr>
          <w:rFonts w:ascii="Arial" w:eastAsia="Times New Roman" w:hAnsi="Arial" w:cs="Arial"/>
          <w:szCs w:val="20"/>
        </w:rPr>
        <w:lastRenderedPageBreak/>
        <w:t xml:space="preserve">current models created by the Center for Medicare and Medicaid Innovation (CMMI) are not meeting quality and savings goals. </w:t>
      </w:r>
      <w:r w:rsidR="00FE5011">
        <w:rPr>
          <w:rFonts w:ascii="Arial" w:eastAsia="Times New Roman" w:hAnsi="Arial" w:cs="Arial"/>
          <w:szCs w:val="20"/>
        </w:rPr>
        <w:t>In fact, according to the CMS report o</w:t>
      </w:r>
      <w:r w:rsidRPr="005B3CFB">
        <w:rPr>
          <w:rFonts w:ascii="Arial" w:eastAsia="Times New Roman" w:hAnsi="Arial" w:cs="Arial"/>
          <w:szCs w:val="20"/>
        </w:rPr>
        <w:t xml:space="preserve">nly two </w:t>
      </w:r>
      <w:r w:rsidR="0033788D">
        <w:rPr>
          <w:rFonts w:ascii="Arial" w:eastAsia="Times New Roman" w:hAnsi="Arial" w:cs="Arial"/>
          <w:szCs w:val="20"/>
        </w:rPr>
        <w:t xml:space="preserve">APMs </w:t>
      </w:r>
      <w:r w:rsidRPr="005B3CFB">
        <w:rPr>
          <w:rFonts w:ascii="Arial" w:eastAsia="Times New Roman" w:hAnsi="Arial" w:cs="Arial"/>
          <w:szCs w:val="20"/>
        </w:rPr>
        <w:t xml:space="preserve">on CMS’s list of 21 improved the patient experience of care. </w:t>
      </w:r>
    </w:p>
    <w:p w14:paraId="2861F55A" w14:textId="77777777" w:rsidR="00A87E03" w:rsidRPr="005B3CFB" w:rsidRDefault="00A87E03" w:rsidP="007E2C33">
      <w:pPr>
        <w:autoSpaceDE w:val="0"/>
        <w:autoSpaceDN w:val="0"/>
        <w:adjustRightInd w:val="0"/>
        <w:spacing w:line="276" w:lineRule="auto"/>
        <w:ind w:left="720"/>
        <w:rPr>
          <w:rFonts w:ascii="Arial" w:eastAsia="Times New Roman" w:hAnsi="Arial" w:cs="Arial"/>
          <w:szCs w:val="20"/>
        </w:rPr>
      </w:pPr>
    </w:p>
    <w:p w14:paraId="4EDD2BFA" w14:textId="07C240F6" w:rsidR="00107FD6" w:rsidRDefault="00FE5011" w:rsidP="007E2C33">
      <w:pPr>
        <w:snapToGrid w:val="0"/>
        <w:spacing w:line="276" w:lineRule="auto"/>
        <w:ind w:left="720"/>
        <w:rPr>
          <w:rFonts w:ascii="Arial" w:hAnsi="Arial" w:cs="Arial"/>
          <w:szCs w:val="20"/>
        </w:rPr>
      </w:pPr>
      <w:r>
        <w:rPr>
          <w:rFonts w:ascii="Arial" w:eastAsia="Times New Roman" w:hAnsi="Arial" w:cs="Arial"/>
          <w:szCs w:val="20"/>
        </w:rPr>
        <w:t>Additionally, d</w:t>
      </w:r>
      <w:r w:rsidRPr="005B3CFB">
        <w:rPr>
          <w:rFonts w:ascii="Arial" w:eastAsia="Times New Roman" w:hAnsi="Arial" w:cs="Arial"/>
          <w:szCs w:val="20"/>
        </w:rPr>
        <w:t xml:space="preserve">espite </w:t>
      </w:r>
      <w:r w:rsidR="00A87E03" w:rsidRPr="005B3CFB">
        <w:rPr>
          <w:rFonts w:ascii="Arial" w:eastAsia="Times New Roman" w:hAnsi="Arial" w:cs="Arial"/>
          <w:szCs w:val="20"/>
        </w:rPr>
        <w:t xml:space="preserve">there being hundreds of APMs, </w:t>
      </w:r>
      <w:r w:rsidR="00A87E03" w:rsidRPr="005B3CFB">
        <w:rPr>
          <w:rFonts w:ascii="Arial" w:hAnsi="Arial" w:cs="Arial"/>
          <w:color w:val="000000"/>
          <w:szCs w:val="20"/>
        </w:rPr>
        <w:t>t</w:t>
      </w:r>
      <w:r w:rsidR="00A87E03" w:rsidRPr="005B3CFB">
        <w:rPr>
          <w:rFonts w:ascii="Arial" w:eastAsia="Times New Roman" w:hAnsi="Arial" w:cs="Arial"/>
          <w:szCs w:val="20"/>
        </w:rPr>
        <w:t xml:space="preserve">here have been very limited options for physicians to participate, much less for them to receive Qualifying APM Participant status from meeting the Advanced APM participation threshold. </w:t>
      </w:r>
      <w:r w:rsidR="00A87E03" w:rsidRPr="005B3CFB">
        <w:rPr>
          <w:rFonts w:ascii="Arial" w:hAnsi="Arial" w:cs="Arial"/>
          <w:szCs w:val="20"/>
        </w:rPr>
        <w:t>Per the recently released MedPAC data book (July 2022), most clinicians participating in Advanced APMs were in accountable care organizations (ACOs) participating in the Medicare Shared Savings Program (MSSP). In fact, of the clinicians who qualified for the 5 percent Advanced APM bonus, over 75 percent were in MSSP</w:t>
      </w:r>
      <w:r w:rsidR="00A87E03">
        <w:rPr>
          <w:rFonts w:ascii="Arial" w:hAnsi="Arial" w:cs="Arial"/>
          <w:szCs w:val="20"/>
        </w:rPr>
        <w:t>.</w:t>
      </w:r>
      <w:r w:rsidR="00A87E03" w:rsidRPr="005B3CFB">
        <w:rPr>
          <w:rFonts w:ascii="Arial" w:hAnsi="Arial" w:cs="Arial"/>
          <w:szCs w:val="20"/>
        </w:rPr>
        <w:t xml:space="preserve"> </w:t>
      </w:r>
      <w:r w:rsidR="00A87E03">
        <w:rPr>
          <w:rFonts w:ascii="Arial" w:hAnsi="Arial" w:cs="Arial"/>
          <w:szCs w:val="20"/>
        </w:rPr>
        <w:t>F</w:t>
      </w:r>
      <w:r w:rsidR="00A87E03" w:rsidRPr="005B3CFB">
        <w:rPr>
          <w:rFonts w:ascii="Arial" w:hAnsi="Arial" w:cs="Arial"/>
          <w:szCs w:val="20"/>
        </w:rPr>
        <w:t xml:space="preserve">our </w:t>
      </w:r>
      <w:proofErr w:type="gramStart"/>
      <w:r w:rsidR="00A87E03" w:rsidRPr="005B3CFB">
        <w:rPr>
          <w:rFonts w:ascii="Arial" w:hAnsi="Arial" w:cs="Arial"/>
          <w:szCs w:val="20"/>
        </w:rPr>
        <w:t>other</w:t>
      </w:r>
      <w:proofErr w:type="gramEnd"/>
      <w:r w:rsidR="00A87E03" w:rsidRPr="005B3CFB">
        <w:rPr>
          <w:rFonts w:ascii="Arial" w:hAnsi="Arial" w:cs="Arial"/>
          <w:szCs w:val="20"/>
        </w:rPr>
        <w:t xml:space="preserve"> Advanced APMs made up most of the rest of the eligible clinicians</w:t>
      </w:r>
      <w:r w:rsidR="00AE31CC">
        <w:rPr>
          <w:rFonts w:ascii="Arial" w:hAnsi="Arial" w:cs="Arial"/>
          <w:szCs w:val="20"/>
        </w:rPr>
        <w:t>, while j</w:t>
      </w:r>
      <w:r w:rsidR="00A87E03" w:rsidRPr="005B3CFB">
        <w:rPr>
          <w:rFonts w:ascii="Arial" w:hAnsi="Arial" w:cs="Arial"/>
          <w:szCs w:val="20"/>
        </w:rPr>
        <w:t>ust 3.4 percent participated in an Advanced APM other than the top four or MSSP.</w:t>
      </w:r>
      <w:r w:rsidR="00107FD6">
        <w:rPr>
          <w:rFonts w:ascii="Arial" w:hAnsi="Arial" w:cs="Arial"/>
          <w:szCs w:val="20"/>
        </w:rPr>
        <w:t xml:space="preserve"> </w:t>
      </w:r>
      <w:r w:rsidR="00A87E03" w:rsidRPr="005B3CFB">
        <w:rPr>
          <w:rFonts w:ascii="Arial" w:hAnsi="Arial" w:cs="Arial"/>
          <w:szCs w:val="20"/>
        </w:rPr>
        <w:t>One look at the CMS website for available APMs, their associated rules, dates for sign-up, data reporting and other requirements</w:t>
      </w:r>
      <w:r w:rsidR="00107FD6">
        <w:rPr>
          <w:rFonts w:ascii="Arial" w:hAnsi="Arial" w:cs="Arial"/>
          <w:szCs w:val="20"/>
        </w:rPr>
        <w:t>,</w:t>
      </w:r>
      <w:r w:rsidR="00A87E03" w:rsidRPr="005B3CFB">
        <w:rPr>
          <w:rFonts w:ascii="Arial" w:hAnsi="Arial" w:cs="Arial"/>
          <w:szCs w:val="20"/>
        </w:rPr>
        <w:t xml:space="preserve"> demonstrates an extraordinary amount of complexity for models that are hardly being utilized. </w:t>
      </w:r>
    </w:p>
    <w:p w14:paraId="5B35E94B" w14:textId="77777777" w:rsidR="00107FD6" w:rsidRDefault="00107FD6" w:rsidP="007E2C33">
      <w:pPr>
        <w:snapToGrid w:val="0"/>
        <w:spacing w:line="276" w:lineRule="auto"/>
        <w:ind w:left="720"/>
        <w:rPr>
          <w:rFonts w:ascii="Arial" w:hAnsi="Arial" w:cs="Arial"/>
          <w:szCs w:val="20"/>
        </w:rPr>
      </w:pPr>
    </w:p>
    <w:p w14:paraId="550B2502" w14:textId="27D7C69A" w:rsidR="00F36715" w:rsidRDefault="00107FD6" w:rsidP="007E2C33">
      <w:pPr>
        <w:autoSpaceDE w:val="0"/>
        <w:autoSpaceDN w:val="0"/>
        <w:adjustRightInd w:val="0"/>
        <w:spacing w:line="276" w:lineRule="auto"/>
        <w:ind w:left="720"/>
        <w:rPr>
          <w:rFonts w:ascii="Arial" w:hAnsi="Arial" w:cs="Arial"/>
          <w:color w:val="000000" w:themeColor="text1"/>
          <w:szCs w:val="20"/>
        </w:rPr>
      </w:pPr>
      <w:r>
        <w:rPr>
          <w:rFonts w:ascii="Arial" w:hAnsi="Arial" w:cs="Arial"/>
          <w:szCs w:val="20"/>
        </w:rPr>
        <w:t xml:space="preserve">Further, </w:t>
      </w:r>
      <w:r w:rsidR="00A87E03">
        <w:rPr>
          <w:rFonts w:ascii="Arial" w:hAnsi="Arial" w:cs="Arial"/>
          <w:szCs w:val="20"/>
        </w:rPr>
        <w:t xml:space="preserve">many </w:t>
      </w:r>
      <w:r w:rsidR="00A87E03" w:rsidRPr="005B3CFB">
        <w:rPr>
          <w:rFonts w:ascii="Arial" w:hAnsi="Arial" w:cs="Arial"/>
          <w:szCs w:val="20"/>
        </w:rPr>
        <w:t>single-specialty practices are disenfranchised from being able to participate in APMs</w:t>
      </w:r>
      <w:r w:rsidR="00F36715">
        <w:rPr>
          <w:rFonts w:ascii="Arial" w:hAnsi="Arial" w:cs="Arial"/>
          <w:szCs w:val="20"/>
        </w:rPr>
        <w:t xml:space="preserve"> altogether</w:t>
      </w:r>
      <w:r w:rsidR="00A87E03" w:rsidRPr="005B3CFB">
        <w:rPr>
          <w:rFonts w:ascii="Arial" w:hAnsi="Arial" w:cs="Arial"/>
          <w:szCs w:val="20"/>
        </w:rPr>
        <w:t>.</w:t>
      </w:r>
      <w:r w:rsidR="00A87E03">
        <w:rPr>
          <w:rFonts w:ascii="Arial" w:hAnsi="Arial" w:cs="Arial"/>
          <w:szCs w:val="20"/>
        </w:rPr>
        <w:t xml:space="preserve"> </w:t>
      </w:r>
      <w:r w:rsidR="00A87E03" w:rsidRPr="005B3CFB">
        <w:rPr>
          <w:rFonts w:ascii="Arial" w:hAnsi="Arial" w:cs="Arial"/>
          <w:szCs w:val="20"/>
        </w:rPr>
        <w:t xml:space="preserve">As currently envisioned by </w:t>
      </w:r>
      <w:r w:rsidR="00A87E03">
        <w:rPr>
          <w:rFonts w:ascii="Arial" w:hAnsi="Arial" w:cs="Arial"/>
          <w:szCs w:val="20"/>
        </w:rPr>
        <w:t xml:space="preserve">the </w:t>
      </w:r>
      <w:r w:rsidR="00A87E03" w:rsidRPr="005B3CFB">
        <w:rPr>
          <w:rFonts w:ascii="Arial" w:hAnsi="Arial" w:cs="Arial"/>
          <w:szCs w:val="20"/>
        </w:rPr>
        <w:t>CMS, APMs significantly favor multispecialty practices</w:t>
      </w:r>
      <w:r w:rsidR="00A87E03">
        <w:rPr>
          <w:rFonts w:ascii="Arial" w:hAnsi="Arial" w:cs="Arial"/>
          <w:szCs w:val="20"/>
        </w:rPr>
        <w:t xml:space="preserve">, </w:t>
      </w:r>
      <w:r w:rsidR="00D40CB3">
        <w:rPr>
          <w:rFonts w:ascii="Arial" w:hAnsi="Arial" w:cs="Arial"/>
          <w:szCs w:val="20"/>
        </w:rPr>
        <w:t>including larger systems in urban settings</w:t>
      </w:r>
      <w:r w:rsidR="00A87E03" w:rsidRPr="005B3CFB">
        <w:rPr>
          <w:rFonts w:ascii="Arial" w:hAnsi="Arial" w:cs="Arial"/>
          <w:szCs w:val="20"/>
        </w:rPr>
        <w:t xml:space="preserve">. </w:t>
      </w:r>
      <w:r w:rsidR="00F36715">
        <w:rPr>
          <w:rFonts w:ascii="Arial" w:hAnsi="Arial" w:cs="Arial"/>
          <w:szCs w:val="20"/>
        </w:rPr>
        <w:t xml:space="preserve">And </w:t>
      </w:r>
      <w:r w:rsidR="00A87E03" w:rsidRPr="005B3CFB">
        <w:rPr>
          <w:rFonts w:ascii="Arial" w:hAnsi="Arial" w:cs="Arial"/>
          <w:szCs w:val="20"/>
        </w:rPr>
        <w:t xml:space="preserve">while </w:t>
      </w:r>
      <w:r w:rsidR="00A87E03">
        <w:rPr>
          <w:rFonts w:ascii="Arial" w:hAnsi="Arial" w:cs="Arial"/>
          <w:szCs w:val="20"/>
        </w:rPr>
        <w:t xml:space="preserve">the </w:t>
      </w:r>
      <w:r w:rsidR="00A87E03" w:rsidRPr="005B3CFB">
        <w:rPr>
          <w:rFonts w:ascii="Arial" w:hAnsi="Arial" w:cs="Arial"/>
          <w:szCs w:val="20"/>
        </w:rPr>
        <w:t xml:space="preserve">CMS wants to see all Medicare beneficiaries and most Medicaid beneficiaries enrolled in an accountable care relationship by 2030, it is unclear how single-specialty, community-based practices can effectively participate in CMS’s vision. </w:t>
      </w:r>
      <w:r w:rsidR="00A87E03">
        <w:rPr>
          <w:rFonts w:ascii="Arial" w:hAnsi="Arial" w:cs="Arial"/>
          <w:szCs w:val="20"/>
        </w:rPr>
        <w:t xml:space="preserve">The </w:t>
      </w:r>
      <w:r w:rsidR="00A87E03" w:rsidRPr="005B3CFB">
        <w:rPr>
          <w:rFonts w:ascii="Arial" w:hAnsi="Arial" w:cs="Arial"/>
          <w:szCs w:val="20"/>
        </w:rPr>
        <w:t xml:space="preserve">CMS has not explicitly articulated how this transition will occur, nor what they see as the primary accountable care relationship model for specialists. </w:t>
      </w:r>
      <w:r w:rsidR="00A87E03">
        <w:rPr>
          <w:rFonts w:ascii="Arial" w:hAnsi="Arial" w:cs="Arial"/>
          <w:szCs w:val="20"/>
        </w:rPr>
        <w:t>The</w:t>
      </w:r>
      <w:r w:rsidR="00A87E03" w:rsidRPr="005B3CFB">
        <w:rPr>
          <w:rFonts w:ascii="Arial" w:hAnsi="Arial" w:cs="Arial"/>
          <w:szCs w:val="20"/>
        </w:rPr>
        <w:t xml:space="preserve"> CMS </w:t>
      </w:r>
      <w:r w:rsidR="00A87E03">
        <w:rPr>
          <w:rFonts w:ascii="Arial" w:hAnsi="Arial" w:cs="Arial"/>
          <w:szCs w:val="20"/>
        </w:rPr>
        <w:t xml:space="preserve">has </w:t>
      </w:r>
      <w:r w:rsidR="00A87E03" w:rsidRPr="005B3CFB">
        <w:rPr>
          <w:rFonts w:ascii="Arial" w:hAnsi="Arial" w:cs="Arial"/>
          <w:szCs w:val="20"/>
        </w:rPr>
        <w:t>acknowledged broad concerns among participants that the path to APMs remains unclear</w:t>
      </w:r>
      <w:r w:rsidR="00F36715">
        <w:rPr>
          <w:rFonts w:ascii="Arial" w:hAnsi="Arial" w:cs="Arial"/>
          <w:szCs w:val="20"/>
        </w:rPr>
        <w:t>,</w:t>
      </w:r>
      <w:r w:rsidR="00A87E03" w:rsidRPr="005B3CFB">
        <w:rPr>
          <w:rFonts w:ascii="Arial" w:hAnsi="Arial" w:cs="Arial"/>
          <w:szCs w:val="20"/>
        </w:rPr>
        <w:t xml:space="preserve"> particularly for specialties other than primary care.</w:t>
      </w:r>
      <w:r w:rsidR="00A87E03">
        <w:rPr>
          <w:rFonts w:ascii="Arial" w:hAnsi="Arial" w:cs="Arial"/>
          <w:color w:val="000000" w:themeColor="text1"/>
          <w:szCs w:val="20"/>
        </w:rPr>
        <w:t xml:space="preserve"> </w:t>
      </w:r>
      <w:r w:rsidR="00063B44">
        <w:rPr>
          <w:rFonts w:ascii="Arial" w:hAnsi="Arial" w:cs="Arial"/>
          <w:color w:val="000000" w:themeColor="text1"/>
          <w:szCs w:val="20"/>
        </w:rPr>
        <w:t>For example, of</w:t>
      </w:r>
      <w:r w:rsidR="00063B44" w:rsidRPr="00063B44">
        <w:rPr>
          <w:rFonts w:ascii="Arial" w:hAnsi="Arial" w:cs="Arial"/>
          <w:color w:val="000000" w:themeColor="text1"/>
          <w:szCs w:val="20"/>
        </w:rPr>
        <w:t xml:space="preserve"> the Advanced APMs currently available, </w:t>
      </w:r>
      <w:r w:rsidR="00063B44">
        <w:rPr>
          <w:rFonts w:ascii="Arial" w:hAnsi="Arial" w:cs="Arial"/>
          <w:color w:val="000000" w:themeColor="text1"/>
          <w:szCs w:val="20"/>
        </w:rPr>
        <w:t xml:space="preserve">we believe </w:t>
      </w:r>
      <w:r w:rsidR="00063B44" w:rsidRPr="00063B44">
        <w:rPr>
          <w:rFonts w:ascii="Arial" w:hAnsi="Arial" w:cs="Arial"/>
          <w:color w:val="000000" w:themeColor="text1"/>
          <w:szCs w:val="20"/>
        </w:rPr>
        <w:t xml:space="preserve">pathologists are only able to participate in at most three models, and only to a very limited extent. </w:t>
      </w:r>
      <w:r w:rsidR="002D3FAB">
        <w:rPr>
          <w:rFonts w:ascii="Arial" w:hAnsi="Arial" w:cs="Arial"/>
          <w:szCs w:val="20"/>
        </w:rPr>
        <w:t>Clearly, m</w:t>
      </w:r>
      <w:r w:rsidR="00D40CB3">
        <w:rPr>
          <w:rFonts w:ascii="Arial" w:hAnsi="Arial" w:cs="Arial"/>
          <w:szCs w:val="20"/>
        </w:rPr>
        <w:t>ore o</w:t>
      </w:r>
      <w:r w:rsidR="00F36715">
        <w:rPr>
          <w:rFonts w:ascii="Arial" w:hAnsi="Arial" w:cs="Arial"/>
          <w:color w:val="000000" w:themeColor="text1"/>
          <w:szCs w:val="20"/>
        </w:rPr>
        <w:t xml:space="preserve">pportunities </w:t>
      </w:r>
      <w:r w:rsidR="00D40CB3">
        <w:rPr>
          <w:rFonts w:ascii="Arial" w:hAnsi="Arial" w:cs="Arial"/>
          <w:color w:val="000000" w:themeColor="text1"/>
          <w:szCs w:val="20"/>
        </w:rPr>
        <w:t xml:space="preserve">are needed </w:t>
      </w:r>
      <w:r w:rsidR="00F36715" w:rsidRPr="005B3CFB">
        <w:rPr>
          <w:rFonts w:ascii="Arial" w:hAnsi="Arial" w:cs="Arial"/>
          <w:color w:val="000000" w:themeColor="text1"/>
          <w:szCs w:val="20"/>
        </w:rPr>
        <w:t xml:space="preserve">for </w:t>
      </w:r>
      <w:r w:rsidR="000A564D">
        <w:rPr>
          <w:rFonts w:ascii="Arial" w:hAnsi="Arial" w:cs="Arial"/>
          <w:color w:val="000000" w:themeColor="text1"/>
          <w:szCs w:val="20"/>
        </w:rPr>
        <w:t xml:space="preserve">specialty </w:t>
      </w:r>
      <w:r w:rsidR="00434372">
        <w:rPr>
          <w:rFonts w:ascii="Arial" w:hAnsi="Arial" w:cs="Arial"/>
          <w:color w:val="000000" w:themeColor="text1"/>
          <w:szCs w:val="20"/>
        </w:rPr>
        <w:t>physicians</w:t>
      </w:r>
      <w:r w:rsidR="000A564D">
        <w:rPr>
          <w:rFonts w:ascii="Arial" w:hAnsi="Arial" w:cs="Arial"/>
          <w:color w:val="000000" w:themeColor="text1"/>
          <w:szCs w:val="20"/>
        </w:rPr>
        <w:t xml:space="preserve"> </w:t>
      </w:r>
      <w:r w:rsidR="00D40CB3">
        <w:rPr>
          <w:rFonts w:ascii="Arial" w:hAnsi="Arial" w:cs="Arial"/>
          <w:color w:val="000000" w:themeColor="text1"/>
          <w:szCs w:val="20"/>
        </w:rPr>
        <w:t>to</w:t>
      </w:r>
      <w:r w:rsidR="00F36715" w:rsidRPr="005B3CFB">
        <w:rPr>
          <w:rFonts w:ascii="Arial" w:hAnsi="Arial" w:cs="Arial"/>
          <w:color w:val="000000" w:themeColor="text1"/>
          <w:szCs w:val="20"/>
        </w:rPr>
        <w:t xml:space="preserve"> participate in Advanced </w:t>
      </w:r>
      <w:proofErr w:type="gramStart"/>
      <w:r w:rsidR="00F36715" w:rsidRPr="005B3CFB">
        <w:rPr>
          <w:rFonts w:ascii="Arial" w:hAnsi="Arial" w:cs="Arial"/>
          <w:color w:val="000000" w:themeColor="text1"/>
          <w:szCs w:val="20"/>
        </w:rPr>
        <w:t>APMs</w:t>
      </w:r>
      <w:proofErr w:type="gramEnd"/>
      <w:r w:rsidR="00F36715" w:rsidRPr="005B3CFB">
        <w:rPr>
          <w:rFonts w:ascii="Arial" w:hAnsi="Arial" w:cs="Arial"/>
          <w:color w:val="000000" w:themeColor="text1"/>
          <w:szCs w:val="20"/>
        </w:rPr>
        <w:t xml:space="preserve"> </w:t>
      </w:r>
      <w:r w:rsidR="00434372">
        <w:rPr>
          <w:rFonts w:ascii="Arial" w:hAnsi="Arial" w:cs="Arial"/>
          <w:color w:val="000000" w:themeColor="text1"/>
          <w:szCs w:val="20"/>
        </w:rPr>
        <w:t xml:space="preserve">and incentives must </w:t>
      </w:r>
      <w:r w:rsidR="00F36715" w:rsidRPr="005B3CFB">
        <w:rPr>
          <w:rFonts w:ascii="Arial" w:hAnsi="Arial" w:cs="Arial"/>
          <w:color w:val="000000" w:themeColor="text1"/>
          <w:szCs w:val="20"/>
        </w:rPr>
        <w:t>recognize that high-value care is provided by both small practices and large systems, in both rural and urban settings.</w:t>
      </w:r>
    </w:p>
    <w:p w14:paraId="50A43B0D" w14:textId="77777777" w:rsidR="00A87E03" w:rsidRDefault="00A87E03" w:rsidP="00365A8B">
      <w:pPr>
        <w:spacing w:line="276" w:lineRule="auto"/>
        <w:rPr>
          <w:rFonts w:ascii="Arial" w:hAnsi="Arial" w:cs="Arial"/>
          <w:szCs w:val="20"/>
        </w:rPr>
      </w:pPr>
    </w:p>
    <w:p w14:paraId="477A3531" w14:textId="77777777" w:rsidR="00A87E03" w:rsidRPr="0033788D" w:rsidRDefault="00A87E03" w:rsidP="0033788D">
      <w:pPr>
        <w:pStyle w:val="ListParagraph"/>
        <w:numPr>
          <w:ilvl w:val="0"/>
          <w:numId w:val="24"/>
        </w:numPr>
        <w:spacing w:line="276" w:lineRule="auto"/>
        <w:rPr>
          <w:rFonts w:ascii="Arial" w:hAnsi="Arial" w:cs="Arial"/>
          <w:b/>
          <w:bCs/>
          <w:szCs w:val="20"/>
        </w:rPr>
      </w:pPr>
      <w:r w:rsidRPr="0033788D">
        <w:rPr>
          <w:rFonts w:ascii="Arial" w:hAnsi="Arial" w:cs="Arial"/>
          <w:b/>
          <w:bCs/>
          <w:szCs w:val="20"/>
        </w:rPr>
        <w:t xml:space="preserve">Reduce Health IT Administrative Burdens </w:t>
      </w:r>
    </w:p>
    <w:p w14:paraId="36577FFA" w14:textId="77777777" w:rsidR="00A87E03" w:rsidRPr="005B3CFB" w:rsidRDefault="00A87E03" w:rsidP="00CC312C">
      <w:pPr>
        <w:spacing w:line="276" w:lineRule="auto"/>
        <w:ind w:left="720"/>
        <w:rPr>
          <w:rFonts w:ascii="Arial" w:hAnsi="Arial" w:cs="Arial"/>
          <w:szCs w:val="20"/>
        </w:rPr>
      </w:pPr>
      <w:r w:rsidRPr="005B3CFB">
        <w:rPr>
          <w:rFonts w:ascii="Arial" w:hAnsi="Arial" w:cs="Arial"/>
          <w:szCs w:val="20"/>
        </w:rPr>
        <w:t xml:space="preserve">Another major barrier concerning implementation of MACRA is the associated administrative burden, particularly as it relates to the current state of health care data. While electronic health records are critical for advancing care accuracy, speed, and coordination, one size does not fit all with respect to health information technology (health IT). Even within a single specialty, different physician practices may have different levels of fluency with technology, and between specialties, maturity of health IT can vary widely. Therefore, when it comes to implementing the requirements of a system-wide program like MACRA, we suggest that regulations should acknowledge the varying states of data and encourage flexibility to accommodate different health IT readiness. Furthermore, rather than impose health IT requirements across the board, CMS and other agencies should work with stakeholders to move from the current state to an improved future state that promotes greater health data interoperability. </w:t>
      </w:r>
    </w:p>
    <w:p w14:paraId="55D5783B" w14:textId="77777777" w:rsidR="00A87E03" w:rsidRPr="005B3CFB" w:rsidRDefault="00A87E03" w:rsidP="00CC312C">
      <w:pPr>
        <w:spacing w:line="276" w:lineRule="auto"/>
        <w:ind w:left="720"/>
        <w:rPr>
          <w:rFonts w:ascii="Arial" w:hAnsi="Arial" w:cs="Arial"/>
          <w:szCs w:val="20"/>
        </w:rPr>
      </w:pPr>
    </w:p>
    <w:p w14:paraId="7972442D" w14:textId="77777777" w:rsidR="00A87E03" w:rsidRDefault="00A87E03" w:rsidP="00CC312C">
      <w:pPr>
        <w:spacing w:line="276" w:lineRule="auto"/>
        <w:ind w:left="720"/>
        <w:rPr>
          <w:rFonts w:ascii="Arial" w:hAnsi="Arial" w:cs="Arial"/>
          <w:szCs w:val="20"/>
        </w:rPr>
      </w:pPr>
      <w:r w:rsidRPr="005B3CFB">
        <w:rPr>
          <w:rFonts w:ascii="Arial" w:hAnsi="Arial" w:cs="Arial"/>
          <w:szCs w:val="20"/>
        </w:rPr>
        <w:t>Data entry remains a major burden to complete implementation of MACRA, as it requires significant time and effort on the part of physicians and/or administrative staff, an average of more than 200 hours a year in one study</w:t>
      </w:r>
      <w:r w:rsidRPr="005B3CFB">
        <w:rPr>
          <w:rStyle w:val="FootnoteReference"/>
          <w:rFonts w:ascii="Arial" w:hAnsi="Arial" w:cs="Arial"/>
          <w:szCs w:val="20"/>
        </w:rPr>
        <w:footnoteReference w:id="1"/>
      </w:r>
      <w:r w:rsidRPr="005B3CFB">
        <w:rPr>
          <w:rFonts w:ascii="Arial" w:hAnsi="Arial" w:cs="Arial"/>
          <w:szCs w:val="20"/>
        </w:rPr>
        <w:t xml:space="preserve">. However, one proposed alternative is quality measurement based on administrative claims. While these measures reduce data entry burden, they do not represent a complete fix; downsides of administrative-claims-based measurement include limited available data, retrospective evaluation, and oftentimes limited clinician control over the processes being measured. </w:t>
      </w:r>
      <w:r>
        <w:rPr>
          <w:rFonts w:ascii="Arial" w:hAnsi="Arial" w:cs="Arial"/>
          <w:szCs w:val="20"/>
        </w:rPr>
        <w:t xml:space="preserve">The </w:t>
      </w:r>
      <w:r w:rsidRPr="005B3CFB">
        <w:rPr>
          <w:rFonts w:ascii="Arial" w:hAnsi="Arial" w:cs="Arial"/>
          <w:szCs w:val="20"/>
        </w:rPr>
        <w:t xml:space="preserve">CMS acknowledges the need for real-time evaluation and feedback, which cannot be accomplished with administrative-claims-based measurement. </w:t>
      </w:r>
    </w:p>
    <w:p w14:paraId="2FAE5CE6" w14:textId="77777777" w:rsidR="00A87E03" w:rsidRDefault="00A87E03" w:rsidP="00CC312C">
      <w:pPr>
        <w:spacing w:line="276" w:lineRule="auto"/>
        <w:ind w:left="720"/>
        <w:rPr>
          <w:rFonts w:ascii="Arial" w:hAnsi="Arial" w:cs="Arial"/>
          <w:szCs w:val="20"/>
        </w:rPr>
      </w:pPr>
    </w:p>
    <w:p w14:paraId="4B19CBEC" w14:textId="029CFE09" w:rsidR="00A87E03" w:rsidRDefault="00D40CB3" w:rsidP="002D3FAB">
      <w:pPr>
        <w:autoSpaceDE w:val="0"/>
        <w:autoSpaceDN w:val="0"/>
        <w:adjustRightInd w:val="0"/>
        <w:spacing w:line="276" w:lineRule="auto"/>
        <w:rPr>
          <w:rFonts w:ascii="Arial" w:hAnsi="Arial" w:cs="Arial"/>
          <w:b/>
          <w:bCs/>
          <w:color w:val="000000" w:themeColor="text1"/>
          <w:szCs w:val="20"/>
          <w:u w:val="single"/>
        </w:rPr>
      </w:pPr>
      <w:r>
        <w:rPr>
          <w:rFonts w:ascii="Arial" w:hAnsi="Arial" w:cs="Arial"/>
          <w:szCs w:val="20"/>
        </w:rPr>
        <w:t>T</w:t>
      </w:r>
      <w:r w:rsidRPr="005B3CFB">
        <w:rPr>
          <w:rFonts w:ascii="Arial" w:hAnsi="Arial" w:cs="Arial"/>
          <w:szCs w:val="20"/>
        </w:rPr>
        <w:t>he underlying PFS has created significant financial instability for physician practices, and dissatisfaction with MACRA may further discourage participation in value-based care models in the future. The long</w:t>
      </w:r>
      <w:r w:rsidRPr="005B3CFB">
        <w:rPr>
          <w:rFonts w:ascii="Cambria Math" w:hAnsi="Cambria Math" w:cs="Cambria Math"/>
          <w:szCs w:val="20"/>
        </w:rPr>
        <w:t>‐</w:t>
      </w:r>
      <w:r w:rsidRPr="005B3CFB">
        <w:rPr>
          <w:rFonts w:ascii="Arial" w:hAnsi="Arial" w:cs="Arial"/>
          <w:szCs w:val="20"/>
        </w:rPr>
        <w:t xml:space="preserve">term consequence of failing to avert the cuts </w:t>
      </w:r>
      <w:r w:rsidR="002D3FAB">
        <w:rPr>
          <w:rFonts w:ascii="Arial" w:hAnsi="Arial" w:cs="Arial"/>
          <w:szCs w:val="20"/>
        </w:rPr>
        <w:t xml:space="preserve">and improve the effectiveness of MACRA </w:t>
      </w:r>
      <w:r w:rsidRPr="005B3CFB">
        <w:rPr>
          <w:rFonts w:ascii="Arial" w:hAnsi="Arial" w:cs="Arial"/>
          <w:szCs w:val="20"/>
        </w:rPr>
        <w:t xml:space="preserve">is decreased patient access to care. </w:t>
      </w:r>
      <w:r w:rsidR="002D3FAB" w:rsidRPr="00B66093">
        <w:rPr>
          <w:rFonts w:ascii="Arial" w:hAnsi="Arial" w:cs="Arial"/>
          <w:szCs w:val="20"/>
        </w:rPr>
        <w:t>T</w:t>
      </w:r>
      <w:r w:rsidR="007C79AE" w:rsidRPr="00B66093">
        <w:rPr>
          <w:rFonts w:ascii="Arial" w:hAnsi="Arial" w:cs="Arial"/>
          <w:szCs w:val="20"/>
        </w:rPr>
        <w:t>he CAP urges the Committee to improve the provision of chronic care services to patients by minimizing physician administrative, financial, and technological burdens of participation in MACRA. To further improve the effectiveness of MACRA and provision of chronic care, t</w:t>
      </w:r>
      <w:r w:rsidR="002D3FAB" w:rsidRPr="00B66093">
        <w:rPr>
          <w:rFonts w:ascii="Arial" w:hAnsi="Arial" w:cs="Arial"/>
          <w:szCs w:val="20"/>
        </w:rPr>
        <w:t xml:space="preserve">he CAP asks the committee to </w:t>
      </w:r>
      <w:r w:rsidR="007C79AE" w:rsidRPr="00B66093">
        <w:rPr>
          <w:rFonts w:ascii="Arial" w:hAnsi="Arial" w:cs="Arial"/>
          <w:szCs w:val="20"/>
        </w:rPr>
        <w:t>take the following actions:</w:t>
      </w:r>
    </w:p>
    <w:p w14:paraId="61DAC6C1" w14:textId="77777777" w:rsidR="002D3FAB" w:rsidRPr="005B3CFB" w:rsidRDefault="002D3FAB" w:rsidP="007C79AE">
      <w:pPr>
        <w:autoSpaceDE w:val="0"/>
        <w:autoSpaceDN w:val="0"/>
        <w:adjustRightInd w:val="0"/>
        <w:spacing w:line="276" w:lineRule="auto"/>
        <w:rPr>
          <w:rFonts w:ascii="Arial" w:hAnsi="Arial" w:cs="Arial"/>
          <w:b/>
          <w:bCs/>
          <w:color w:val="000000" w:themeColor="text1"/>
          <w:szCs w:val="20"/>
          <w:u w:val="single"/>
        </w:rPr>
      </w:pPr>
    </w:p>
    <w:p w14:paraId="18A1B452" w14:textId="5A0FFE6F" w:rsidR="00A87E03" w:rsidRDefault="00A87E03" w:rsidP="00365A8B">
      <w:pPr>
        <w:pStyle w:val="ListParagraph"/>
        <w:numPr>
          <w:ilvl w:val="0"/>
          <w:numId w:val="22"/>
        </w:numPr>
        <w:spacing w:line="276" w:lineRule="auto"/>
        <w:rPr>
          <w:rFonts w:ascii="Arial" w:hAnsi="Arial" w:cs="Arial"/>
          <w:szCs w:val="20"/>
        </w:rPr>
      </w:pPr>
      <w:r w:rsidRPr="00130D2B">
        <w:rPr>
          <w:rFonts w:ascii="Arial" w:hAnsi="Arial" w:cs="Arial"/>
          <w:szCs w:val="20"/>
          <w:u w:val="single"/>
        </w:rPr>
        <w:t xml:space="preserve">Pass legislation to maintain </w:t>
      </w:r>
      <w:r w:rsidR="008B7DCE">
        <w:rPr>
          <w:rFonts w:ascii="Arial" w:hAnsi="Arial" w:cs="Arial"/>
          <w:szCs w:val="20"/>
          <w:u w:val="single"/>
        </w:rPr>
        <w:t>meaningful</w:t>
      </w:r>
      <w:r w:rsidR="008B7DCE" w:rsidRPr="00130D2B">
        <w:rPr>
          <w:rFonts w:ascii="Arial" w:hAnsi="Arial" w:cs="Arial"/>
          <w:szCs w:val="20"/>
          <w:u w:val="single"/>
        </w:rPr>
        <w:t xml:space="preserve"> </w:t>
      </w:r>
      <w:r w:rsidR="00247D00">
        <w:rPr>
          <w:rFonts w:ascii="Arial" w:hAnsi="Arial" w:cs="Arial"/>
          <w:szCs w:val="20"/>
          <w:u w:val="single"/>
        </w:rPr>
        <w:t>q</w:t>
      </w:r>
      <w:r w:rsidR="00247D00" w:rsidRPr="00130D2B">
        <w:rPr>
          <w:rFonts w:ascii="Arial" w:hAnsi="Arial" w:cs="Arial"/>
          <w:szCs w:val="20"/>
          <w:u w:val="single"/>
        </w:rPr>
        <w:t xml:space="preserve">uality </w:t>
      </w:r>
      <w:r w:rsidR="00247D00">
        <w:rPr>
          <w:rFonts w:ascii="Arial" w:hAnsi="Arial" w:cs="Arial"/>
          <w:szCs w:val="20"/>
          <w:u w:val="single"/>
        </w:rPr>
        <w:t>m</w:t>
      </w:r>
      <w:r w:rsidR="00247D00" w:rsidRPr="00130D2B">
        <w:rPr>
          <w:rFonts w:ascii="Arial" w:hAnsi="Arial" w:cs="Arial"/>
          <w:szCs w:val="20"/>
          <w:u w:val="single"/>
        </w:rPr>
        <w:t>easures</w:t>
      </w:r>
      <w:r w:rsidRPr="00130D2B">
        <w:rPr>
          <w:rFonts w:ascii="Arial" w:hAnsi="Arial" w:cs="Arial"/>
          <w:szCs w:val="20"/>
          <w:u w:val="single"/>
        </w:rPr>
        <w:t>.</w:t>
      </w:r>
      <w:r>
        <w:rPr>
          <w:rFonts w:ascii="Arial" w:hAnsi="Arial" w:cs="Arial"/>
          <w:szCs w:val="20"/>
        </w:rPr>
        <w:t xml:space="preserve"> The </w:t>
      </w:r>
      <w:r w:rsidRPr="00130D2B">
        <w:rPr>
          <w:rFonts w:ascii="Arial" w:hAnsi="Arial" w:cs="Arial"/>
          <w:szCs w:val="20"/>
        </w:rPr>
        <w:t xml:space="preserve">CMS is attempting to </w:t>
      </w:r>
      <w:r>
        <w:rPr>
          <w:rFonts w:ascii="Arial" w:hAnsi="Arial" w:cs="Arial"/>
          <w:szCs w:val="20"/>
        </w:rPr>
        <w:t>replace</w:t>
      </w:r>
      <w:r w:rsidRPr="00130D2B">
        <w:rPr>
          <w:rFonts w:ascii="Arial" w:hAnsi="Arial" w:cs="Arial"/>
          <w:szCs w:val="20"/>
        </w:rPr>
        <w:t xml:space="preserve"> process measures: measures that look at whether the clinician did what he or she was supposed to do </w:t>
      </w:r>
      <w:r w:rsidRPr="006A24D0">
        <w:rPr>
          <w:rFonts w:ascii="Arial" w:hAnsi="Arial" w:cs="Arial"/>
          <w:szCs w:val="20"/>
        </w:rPr>
        <w:t>(example: annual hepatitis screening for active drug users)</w:t>
      </w:r>
      <w:r>
        <w:rPr>
          <w:rFonts w:ascii="Arial" w:hAnsi="Arial" w:cs="Arial"/>
          <w:szCs w:val="20"/>
        </w:rPr>
        <w:t xml:space="preserve"> with </w:t>
      </w:r>
      <w:r w:rsidRPr="00130D2B">
        <w:rPr>
          <w:rFonts w:ascii="Arial" w:hAnsi="Arial" w:cs="Arial"/>
          <w:szCs w:val="20"/>
        </w:rPr>
        <w:t xml:space="preserve">outcome measures: what was the outcome of the procedure </w:t>
      </w:r>
      <w:r w:rsidRPr="006A24D0">
        <w:rPr>
          <w:rFonts w:ascii="Arial" w:hAnsi="Arial" w:cs="Arial"/>
          <w:szCs w:val="20"/>
        </w:rPr>
        <w:t>(example: decrease in lower back pain).</w:t>
      </w:r>
      <w:r w:rsidRPr="00130D2B">
        <w:rPr>
          <w:rFonts w:ascii="Arial" w:hAnsi="Arial" w:cs="Arial"/>
          <w:szCs w:val="20"/>
        </w:rPr>
        <w:t xml:space="preserve"> This is an issue for patholog</w:t>
      </w:r>
      <w:r>
        <w:rPr>
          <w:rFonts w:ascii="Arial" w:hAnsi="Arial" w:cs="Arial"/>
          <w:szCs w:val="20"/>
        </w:rPr>
        <w:t xml:space="preserve">ists </w:t>
      </w:r>
      <w:r w:rsidRPr="00130D2B">
        <w:rPr>
          <w:rFonts w:ascii="Arial" w:hAnsi="Arial" w:cs="Arial"/>
          <w:szCs w:val="20"/>
        </w:rPr>
        <w:t>because</w:t>
      </w:r>
      <w:r>
        <w:rPr>
          <w:rFonts w:ascii="Arial" w:hAnsi="Arial" w:cs="Arial"/>
          <w:szCs w:val="20"/>
        </w:rPr>
        <w:t xml:space="preserve"> </w:t>
      </w:r>
      <w:r w:rsidR="008B7DCE">
        <w:rPr>
          <w:rFonts w:ascii="Arial" w:hAnsi="Arial" w:cs="Arial"/>
          <w:szCs w:val="20"/>
        </w:rPr>
        <w:t>there are not</w:t>
      </w:r>
      <w:r w:rsidRPr="00130D2B">
        <w:rPr>
          <w:rFonts w:ascii="Arial" w:hAnsi="Arial" w:cs="Arial"/>
          <w:szCs w:val="20"/>
        </w:rPr>
        <w:t xml:space="preserve"> </w:t>
      </w:r>
      <w:r w:rsidR="008B7DCE">
        <w:rPr>
          <w:rFonts w:ascii="Arial" w:hAnsi="Arial" w:cs="Arial"/>
          <w:szCs w:val="20"/>
        </w:rPr>
        <w:t>relevant</w:t>
      </w:r>
      <w:r w:rsidRPr="00130D2B">
        <w:rPr>
          <w:rFonts w:ascii="Arial" w:hAnsi="Arial" w:cs="Arial"/>
          <w:szCs w:val="20"/>
        </w:rPr>
        <w:t xml:space="preserve"> outcome measures</w:t>
      </w:r>
      <w:r w:rsidR="008B7DCE">
        <w:rPr>
          <w:rFonts w:ascii="Arial" w:hAnsi="Arial" w:cs="Arial"/>
          <w:szCs w:val="20"/>
        </w:rPr>
        <w:t xml:space="preserve"> for pathology</w:t>
      </w:r>
      <w:r w:rsidRPr="00130D2B">
        <w:rPr>
          <w:rFonts w:ascii="Arial" w:hAnsi="Arial" w:cs="Arial"/>
          <w:szCs w:val="20"/>
        </w:rPr>
        <w:t xml:space="preserve">. Pathologists </w:t>
      </w:r>
      <w:r w:rsidR="008B7DCE">
        <w:rPr>
          <w:rFonts w:ascii="Arial" w:hAnsi="Arial" w:cs="Arial"/>
          <w:szCs w:val="20"/>
        </w:rPr>
        <w:t>do not have direct attributable control over</w:t>
      </w:r>
      <w:r w:rsidRPr="00130D2B">
        <w:rPr>
          <w:rFonts w:ascii="Arial" w:hAnsi="Arial" w:cs="Arial"/>
          <w:szCs w:val="20"/>
        </w:rPr>
        <w:t xml:space="preserve"> the outcome of </w:t>
      </w:r>
      <w:r w:rsidR="008B7DCE">
        <w:rPr>
          <w:rFonts w:ascii="Arial" w:hAnsi="Arial" w:cs="Arial"/>
          <w:szCs w:val="20"/>
        </w:rPr>
        <w:t>most</w:t>
      </w:r>
      <w:r w:rsidR="008B7DCE" w:rsidRPr="00130D2B">
        <w:rPr>
          <w:rFonts w:ascii="Arial" w:hAnsi="Arial" w:cs="Arial"/>
          <w:szCs w:val="20"/>
        </w:rPr>
        <w:t xml:space="preserve"> </w:t>
      </w:r>
      <w:r w:rsidRPr="00130D2B">
        <w:rPr>
          <w:rFonts w:ascii="Arial" w:hAnsi="Arial" w:cs="Arial"/>
          <w:szCs w:val="20"/>
        </w:rPr>
        <w:t>procedure</w:t>
      </w:r>
      <w:r w:rsidR="008B7DCE">
        <w:rPr>
          <w:rFonts w:ascii="Arial" w:hAnsi="Arial" w:cs="Arial"/>
          <w:szCs w:val="20"/>
        </w:rPr>
        <w:t>s</w:t>
      </w:r>
      <w:r w:rsidRPr="00130D2B">
        <w:rPr>
          <w:rFonts w:ascii="Arial" w:hAnsi="Arial" w:cs="Arial"/>
          <w:szCs w:val="20"/>
        </w:rPr>
        <w:t>. Process measures have been and remain very important in all aspects of health care</w:t>
      </w:r>
      <w:r w:rsidR="008B7DCE">
        <w:rPr>
          <w:rFonts w:ascii="Arial" w:hAnsi="Arial" w:cs="Arial"/>
          <w:szCs w:val="20"/>
        </w:rPr>
        <w:t xml:space="preserve"> and efforts should be taken to protect them</w:t>
      </w:r>
      <w:r w:rsidRPr="00130D2B">
        <w:rPr>
          <w:rFonts w:ascii="Arial" w:hAnsi="Arial" w:cs="Arial"/>
          <w:szCs w:val="20"/>
        </w:rPr>
        <w:t>.</w:t>
      </w:r>
    </w:p>
    <w:p w14:paraId="3507388E" w14:textId="77777777" w:rsidR="007C79AE" w:rsidRDefault="007C79AE" w:rsidP="007C79AE">
      <w:pPr>
        <w:pStyle w:val="ListParagraph"/>
        <w:spacing w:line="276" w:lineRule="auto"/>
        <w:rPr>
          <w:rFonts w:ascii="Arial" w:hAnsi="Arial" w:cs="Arial"/>
          <w:szCs w:val="20"/>
        </w:rPr>
      </w:pPr>
    </w:p>
    <w:p w14:paraId="16ACB560" w14:textId="5FB24F7C" w:rsidR="00A87E03" w:rsidRDefault="00A87E03" w:rsidP="00365A8B">
      <w:pPr>
        <w:pStyle w:val="ListParagraph"/>
        <w:numPr>
          <w:ilvl w:val="0"/>
          <w:numId w:val="22"/>
        </w:numPr>
        <w:spacing w:line="276" w:lineRule="auto"/>
        <w:rPr>
          <w:rFonts w:ascii="Arial" w:hAnsi="Arial" w:cs="Arial"/>
          <w:szCs w:val="20"/>
        </w:rPr>
      </w:pPr>
      <w:r>
        <w:rPr>
          <w:rFonts w:ascii="Arial" w:hAnsi="Arial" w:cs="Arial"/>
          <w:szCs w:val="20"/>
          <w:u w:val="single"/>
        </w:rPr>
        <w:t xml:space="preserve">Pass legislation to </w:t>
      </w:r>
      <w:r w:rsidR="00063B44">
        <w:rPr>
          <w:rFonts w:ascii="Arial" w:hAnsi="Arial" w:cs="Arial"/>
          <w:szCs w:val="20"/>
          <w:u w:val="single"/>
        </w:rPr>
        <w:t xml:space="preserve">improve </w:t>
      </w:r>
      <w:r>
        <w:rPr>
          <w:rFonts w:ascii="Arial" w:hAnsi="Arial" w:cs="Arial"/>
          <w:szCs w:val="20"/>
          <w:u w:val="single"/>
        </w:rPr>
        <w:t>stakeholder participation in the development of new payment models.</w:t>
      </w:r>
      <w:r>
        <w:rPr>
          <w:rFonts w:ascii="Arial" w:hAnsi="Arial" w:cs="Arial"/>
          <w:szCs w:val="20"/>
        </w:rPr>
        <w:t xml:space="preserve"> </w:t>
      </w:r>
      <w:r w:rsidRPr="00497ED7">
        <w:rPr>
          <w:rFonts w:ascii="Arial" w:hAnsi="Arial" w:cs="Arial"/>
          <w:szCs w:val="20"/>
        </w:rPr>
        <w:t xml:space="preserve">The CAP </w:t>
      </w:r>
      <w:r>
        <w:rPr>
          <w:rFonts w:ascii="Arial" w:hAnsi="Arial" w:cs="Arial"/>
          <w:szCs w:val="20"/>
        </w:rPr>
        <w:t xml:space="preserve">remains </w:t>
      </w:r>
      <w:r w:rsidRPr="00497ED7">
        <w:rPr>
          <w:rFonts w:ascii="Arial" w:hAnsi="Arial" w:cs="Arial"/>
          <w:szCs w:val="20"/>
        </w:rPr>
        <w:t xml:space="preserve">concerned that models are being developed by CMMI that dramatically change providers’ clinical decision-making without considering the input of those specialties impacted by the model. Thus, the CAP has sought to ensure physicians, especially the societies that represent physicians participating in and affected by new payment models, have input into new model development. Specifically, in carrying out its statutory duties of testing innovative health care payment and delivery models that lower costs while “preserving or enhancing the quality of care,” CMMI is required to consult clinical and analytical experts with expertise in medicine and health care management. Amongst those clinical experts and those with expertise in medicine and health care management, CMMI should be required to include associations representing physician specialties whose services are impacted directly in both primary and supporting roles by the Center’s models. Consultation with specialty associations will help ensure that models developed in a manner </w:t>
      </w:r>
      <w:r w:rsidRPr="00497ED7">
        <w:rPr>
          <w:rFonts w:ascii="Arial" w:hAnsi="Arial" w:cs="Arial"/>
          <w:szCs w:val="20"/>
        </w:rPr>
        <w:lastRenderedPageBreak/>
        <w:t>that is transparent and focused on the best interests of the patient consistent with sound clinical input and practices.</w:t>
      </w:r>
    </w:p>
    <w:p w14:paraId="320BE594" w14:textId="77777777" w:rsidR="00063B44" w:rsidRDefault="00063B44" w:rsidP="00063B44">
      <w:pPr>
        <w:spacing w:line="276" w:lineRule="auto"/>
        <w:rPr>
          <w:rFonts w:ascii="Arial" w:hAnsi="Arial" w:cs="Arial"/>
          <w:szCs w:val="20"/>
        </w:rPr>
      </w:pPr>
    </w:p>
    <w:p w14:paraId="583C4703" w14:textId="1FB10EEC" w:rsidR="00063B44" w:rsidRPr="00063B44" w:rsidRDefault="00063B44" w:rsidP="00063B44">
      <w:pPr>
        <w:spacing w:line="276" w:lineRule="auto"/>
        <w:ind w:left="720"/>
        <w:rPr>
          <w:rFonts w:ascii="Arial" w:hAnsi="Arial" w:cs="Arial"/>
          <w:szCs w:val="20"/>
        </w:rPr>
      </w:pPr>
      <w:r>
        <w:rPr>
          <w:rFonts w:ascii="Arial" w:hAnsi="Arial" w:cs="Arial"/>
          <w:szCs w:val="20"/>
        </w:rPr>
        <w:t xml:space="preserve">Additionally, </w:t>
      </w:r>
      <w:r w:rsidR="00E93A47" w:rsidRPr="00E93A47">
        <w:rPr>
          <w:rFonts w:ascii="Arial" w:hAnsi="Arial" w:cs="Arial"/>
          <w:szCs w:val="20"/>
        </w:rPr>
        <w:t xml:space="preserve">the fact that CMS has yet to take up any of the models recommended by </w:t>
      </w:r>
      <w:r w:rsidR="00E93A47">
        <w:rPr>
          <w:rFonts w:ascii="Arial" w:hAnsi="Arial" w:cs="Arial"/>
          <w:szCs w:val="20"/>
        </w:rPr>
        <w:t xml:space="preserve">the </w:t>
      </w:r>
      <w:r w:rsidR="00E93A47" w:rsidRPr="00497ED7">
        <w:rPr>
          <w:rFonts w:ascii="Arial" w:hAnsi="Arial" w:cs="Arial"/>
          <w:szCs w:val="20"/>
        </w:rPr>
        <w:t>Physician</w:t>
      </w:r>
      <w:r w:rsidR="00E93A47">
        <w:rPr>
          <w:rFonts w:ascii="Arial" w:hAnsi="Arial" w:cs="Arial"/>
          <w:szCs w:val="20"/>
        </w:rPr>
        <w:t xml:space="preserve"> </w:t>
      </w:r>
      <w:r w:rsidR="00E93A47" w:rsidRPr="00497ED7">
        <w:rPr>
          <w:rFonts w:ascii="Arial" w:hAnsi="Arial" w:cs="Arial"/>
          <w:szCs w:val="20"/>
        </w:rPr>
        <w:t xml:space="preserve">Focused Payment Model Technical Advisory Committee (PTAC) </w:t>
      </w:r>
      <w:r w:rsidR="00E93A47" w:rsidRPr="00E93A47">
        <w:rPr>
          <w:rFonts w:ascii="Arial" w:hAnsi="Arial" w:cs="Arial"/>
          <w:szCs w:val="20"/>
        </w:rPr>
        <w:t xml:space="preserve">demonstrates the complexity in creating appropriate </w:t>
      </w:r>
      <w:proofErr w:type="gramStart"/>
      <w:r w:rsidR="00E93A47" w:rsidRPr="00E93A47">
        <w:rPr>
          <w:rFonts w:ascii="Arial" w:hAnsi="Arial" w:cs="Arial"/>
          <w:szCs w:val="20"/>
        </w:rPr>
        <w:t>physician-developed</w:t>
      </w:r>
      <w:proofErr w:type="gramEnd"/>
      <w:r w:rsidR="00E93A47" w:rsidRPr="00E93A47">
        <w:rPr>
          <w:rFonts w:ascii="Arial" w:hAnsi="Arial" w:cs="Arial"/>
          <w:szCs w:val="20"/>
        </w:rPr>
        <w:t xml:space="preserve"> APMs as envisioned under MACRA. Having physician input and buy-in is critical to effective delivery system reform.</w:t>
      </w:r>
      <w:r w:rsidR="00E93A47">
        <w:rPr>
          <w:rFonts w:ascii="Arial" w:hAnsi="Arial" w:cs="Arial"/>
          <w:szCs w:val="20"/>
        </w:rPr>
        <w:t xml:space="preserve"> </w:t>
      </w:r>
      <w:r w:rsidR="00E93A47" w:rsidRPr="00E93A47">
        <w:rPr>
          <w:rFonts w:ascii="Arial" w:hAnsi="Arial" w:cs="Arial"/>
          <w:szCs w:val="20"/>
        </w:rPr>
        <w:t>More innovative health care payment and delivery models must be developed in an open and transparent fashion with the input of those specialties impacted by the models.</w:t>
      </w:r>
    </w:p>
    <w:p w14:paraId="41E52843" w14:textId="77777777" w:rsidR="004803F4" w:rsidRDefault="004803F4" w:rsidP="004803F4">
      <w:pPr>
        <w:pStyle w:val="ListParagraph"/>
        <w:spacing w:line="276" w:lineRule="auto"/>
        <w:rPr>
          <w:rFonts w:ascii="Arial" w:hAnsi="Arial" w:cs="Arial"/>
          <w:szCs w:val="20"/>
        </w:rPr>
      </w:pPr>
    </w:p>
    <w:p w14:paraId="7AB6F1B9" w14:textId="598B6443" w:rsidR="00A87E03" w:rsidRDefault="00A87E03" w:rsidP="00365A8B">
      <w:pPr>
        <w:pStyle w:val="ListParagraph"/>
        <w:numPr>
          <w:ilvl w:val="0"/>
          <w:numId w:val="22"/>
        </w:numPr>
        <w:spacing w:line="276" w:lineRule="auto"/>
        <w:rPr>
          <w:rFonts w:ascii="Arial" w:hAnsi="Arial" w:cs="Arial"/>
          <w:szCs w:val="20"/>
        </w:rPr>
      </w:pPr>
      <w:r w:rsidRPr="00497ED7">
        <w:rPr>
          <w:rFonts w:ascii="Arial" w:hAnsi="Arial" w:cs="Arial"/>
          <w:szCs w:val="20"/>
          <w:u w:val="single"/>
        </w:rPr>
        <w:t xml:space="preserve">Pass legislation requiring </w:t>
      </w:r>
      <w:r w:rsidR="00247D00">
        <w:rPr>
          <w:rFonts w:ascii="Arial" w:hAnsi="Arial" w:cs="Arial"/>
          <w:szCs w:val="20"/>
          <w:u w:val="single"/>
        </w:rPr>
        <w:t xml:space="preserve">PTAC </w:t>
      </w:r>
      <w:r w:rsidRPr="00497ED7">
        <w:rPr>
          <w:rFonts w:ascii="Arial" w:hAnsi="Arial" w:cs="Arial"/>
          <w:szCs w:val="20"/>
          <w:u w:val="single"/>
        </w:rPr>
        <w:t>model submitters to consult participating and affected specialties prior to model submission.</w:t>
      </w:r>
      <w:r w:rsidRPr="00497ED7">
        <w:rPr>
          <w:rFonts w:ascii="Arial" w:hAnsi="Arial" w:cs="Arial"/>
          <w:szCs w:val="20"/>
        </w:rPr>
        <w:t xml:space="preserve"> </w:t>
      </w:r>
      <w:r>
        <w:rPr>
          <w:rFonts w:ascii="Arial" w:hAnsi="Arial" w:cs="Arial"/>
          <w:szCs w:val="20"/>
        </w:rPr>
        <w:t xml:space="preserve">The </w:t>
      </w:r>
      <w:r w:rsidRPr="00497ED7">
        <w:rPr>
          <w:rFonts w:ascii="Arial" w:hAnsi="Arial" w:cs="Arial"/>
          <w:szCs w:val="20"/>
        </w:rPr>
        <w:t xml:space="preserve">PTAC provides an important opportunity for specialists to develop their own models and submit them for review and recommendation to the Secretary. However, at least three models submitted to the PTAC have included pathology services, yet the CAP was not consulted or even aware they encompassed pathology services until the models were posted for public comment. Model submitters should be required to </w:t>
      </w:r>
      <w:r w:rsidR="00063B44">
        <w:rPr>
          <w:rFonts w:ascii="Arial" w:hAnsi="Arial" w:cs="Arial"/>
          <w:szCs w:val="20"/>
        </w:rPr>
        <w:t xml:space="preserve">provide </w:t>
      </w:r>
      <w:r w:rsidRPr="00497ED7">
        <w:rPr>
          <w:rFonts w:ascii="Arial" w:hAnsi="Arial" w:cs="Arial"/>
          <w:szCs w:val="20"/>
        </w:rPr>
        <w:t>evidence of consultation and concurrence from specialties participating in their models prior to submission so that the PTAC can make recommendations on models that are truly physician-focused and enable meaningful contribution of their participants in enhancing the care of patients.</w:t>
      </w:r>
    </w:p>
    <w:p w14:paraId="74ACB146" w14:textId="77777777" w:rsidR="007C79AE" w:rsidRDefault="007C79AE" w:rsidP="007C79AE">
      <w:pPr>
        <w:pStyle w:val="ListParagraph"/>
        <w:spacing w:line="276" w:lineRule="auto"/>
        <w:rPr>
          <w:rFonts w:ascii="Arial" w:hAnsi="Arial" w:cs="Arial"/>
          <w:szCs w:val="20"/>
        </w:rPr>
      </w:pPr>
    </w:p>
    <w:p w14:paraId="57643BD8" w14:textId="320A984B" w:rsidR="00A87E03" w:rsidRPr="007C79AE" w:rsidRDefault="00A87E03" w:rsidP="00365A8B">
      <w:pPr>
        <w:pStyle w:val="ListParagraph"/>
        <w:numPr>
          <w:ilvl w:val="0"/>
          <w:numId w:val="22"/>
        </w:numPr>
        <w:spacing w:line="276" w:lineRule="auto"/>
        <w:rPr>
          <w:rFonts w:ascii="Arial" w:hAnsi="Arial" w:cs="Arial"/>
          <w:szCs w:val="20"/>
        </w:rPr>
      </w:pPr>
      <w:r>
        <w:rPr>
          <w:rFonts w:ascii="Arial" w:hAnsi="Arial" w:cs="Arial"/>
          <w:szCs w:val="20"/>
          <w:u w:val="single"/>
        </w:rPr>
        <w:t>Pass legislation requiring that t</w:t>
      </w:r>
      <w:r w:rsidRPr="00497ED7">
        <w:rPr>
          <w:rFonts w:ascii="Arial" w:hAnsi="Arial" w:cs="Arial"/>
          <w:szCs w:val="20"/>
          <w:u w:val="single"/>
        </w:rPr>
        <w:t>raditional MIPS options be maintained for single specialty practices to ensure that private/independent practices of all sizes remain a viable option for physicians.</w:t>
      </w:r>
      <w:r>
        <w:rPr>
          <w:rFonts w:ascii="Arial" w:hAnsi="Arial" w:cs="Arial"/>
          <w:szCs w:val="20"/>
        </w:rPr>
        <w:t xml:space="preserve"> </w:t>
      </w:r>
      <w:r>
        <w:rPr>
          <w:rFonts w:ascii="Arial" w:hAnsi="Arial" w:cs="Arial"/>
          <w:color w:val="000000" w:themeColor="text1"/>
          <w:szCs w:val="20"/>
        </w:rPr>
        <w:t>T</w:t>
      </w:r>
      <w:r w:rsidRPr="00497ED7">
        <w:rPr>
          <w:rFonts w:ascii="Arial" w:hAnsi="Arial" w:cs="Arial"/>
          <w:color w:val="000000" w:themeColor="text1"/>
          <w:szCs w:val="20"/>
        </w:rPr>
        <w:t xml:space="preserve">raditional MIPS, though burdensome, allows single specialty pathology practices to </w:t>
      </w:r>
      <w:r w:rsidR="009C1650">
        <w:rPr>
          <w:rFonts w:ascii="Arial" w:hAnsi="Arial" w:cs="Arial"/>
          <w:color w:val="000000" w:themeColor="text1"/>
          <w:szCs w:val="20"/>
        </w:rPr>
        <w:t xml:space="preserve">be accurately measured on relevant quality activities and </w:t>
      </w:r>
      <w:r w:rsidRPr="00497ED7">
        <w:rPr>
          <w:rFonts w:ascii="Arial" w:hAnsi="Arial" w:cs="Arial"/>
          <w:color w:val="000000" w:themeColor="text1"/>
          <w:szCs w:val="20"/>
        </w:rPr>
        <w:t>obtain full incentives</w:t>
      </w:r>
      <w:r w:rsidR="002B4516">
        <w:rPr>
          <w:rFonts w:ascii="Arial" w:hAnsi="Arial" w:cs="Arial"/>
          <w:color w:val="000000" w:themeColor="text1"/>
          <w:szCs w:val="20"/>
        </w:rPr>
        <w:t xml:space="preserve"> without pressure to consolidate</w:t>
      </w:r>
      <w:r w:rsidRPr="00497ED7">
        <w:rPr>
          <w:rFonts w:ascii="Arial" w:hAnsi="Arial" w:cs="Arial"/>
          <w:color w:val="000000" w:themeColor="text1"/>
          <w:szCs w:val="20"/>
        </w:rPr>
        <w:t>. Many pathologists in independent practice choose to stay in MIPS for that reason. The CAP believes the replacement of traditional MIPS with MVPs and Advanced APMs incentivizes larger, multispecialty practices, as the clinical alignment envisioned by these programs is often achieved via physician employment or practice consolidation. Indeed, consolidation among physician practices and between hospitals and physician practices has accelerated in the past decade, with participation in APMs cited as reasons for consolidation</w:t>
      </w:r>
      <w:r w:rsidRPr="005B3CFB">
        <w:rPr>
          <w:rStyle w:val="FootnoteReference"/>
          <w:rFonts w:ascii="Arial" w:hAnsi="Arial" w:cs="Arial"/>
          <w:color w:val="000000" w:themeColor="text1"/>
          <w:szCs w:val="20"/>
        </w:rPr>
        <w:footnoteReference w:id="2"/>
      </w:r>
      <w:r w:rsidRPr="00497ED7">
        <w:rPr>
          <w:rFonts w:ascii="Arial" w:hAnsi="Arial" w:cs="Arial"/>
          <w:color w:val="000000" w:themeColor="text1"/>
          <w:szCs w:val="20"/>
        </w:rPr>
        <w:t xml:space="preserve">. </w:t>
      </w:r>
      <w:r>
        <w:rPr>
          <w:rFonts w:ascii="Arial" w:hAnsi="Arial" w:cs="Arial"/>
          <w:color w:val="000000" w:themeColor="text1"/>
          <w:szCs w:val="20"/>
        </w:rPr>
        <w:t xml:space="preserve">This kind of consolidation is bad for ensuring access to quality care for patients in rural and underserved communities. </w:t>
      </w:r>
    </w:p>
    <w:p w14:paraId="3B58AE34" w14:textId="77777777" w:rsidR="00A87E03" w:rsidRDefault="00A87E03" w:rsidP="00365A8B">
      <w:pPr>
        <w:spacing w:line="276" w:lineRule="auto"/>
        <w:rPr>
          <w:rFonts w:ascii="Arial" w:hAnsi="Arial" w:cs="Arial"/>
          <w:color w:val="000000" w:themeColor="text1"/>
          <w:szCs w:val="20"/>
        </w:rPr>
      </w:pPr>
    </w:p>
    <w:p w14:paraId="541FC779" w14:textId="2F28445A" w:rsidR="00A87E03" w:rsidRDefault="00A87E03" w:rsidP="00365A8B">
      <w:pPr>
        <w:pStyle w:val="Default"/>
        <w:rPr>
          <w:rFonts w:ascii="Arial" w:hAnsi="Arial" w:cs="Arial"/>
          <w:b/>
          <w:bCs/>
          <w:color w:val="000000" w:themeColor="text1"/>
          <w:sz w:val="20"/>
          <w:szCs w:val="20"/>
          <w:u w:val="single"/>
        </w:rPr>
      </w:pPr>
      <w:bookmarkStart w:id="2" w:name="_Hlk146102787"/>
      <w:r w:rsidRPr="009D1488">
        <w:rPr>
          <w:rFonts w:ascii="Arial" w:hAnsi="Arial" w:cs="Arial"/>
          <w:b/>
          <w:bCs/>
          <w:color w:val="000000" w:themeColor="text1"/>
          <w:sz w:val="20"/>
          <w:szCs w:val="20"/>
          <w:u w:val="single"/>
        </w:rPr>
        <w:t>Address</w:t>
      </w:r>
      <w:r w:rsidR="002D3FAB">
        <w:rPr>
          <w:rFonts w:ascii="Arial" w:hAnsi="Arial" w:cs="Arial"/>
          <w:b/>
          <w:bCs/>
          <w:color w:val="000000" w:themeColor="text1"/>
          <w:sz w:val="20"/>
          <w:szCs w:val="20"/>
          <w:u w:val="single"/>
        </w:rPr>
        <w:t>ing</w:t>
      </w:r>
      <w:r w:rsidRPr="009D1488">
        <w:rPr>
          <w:rFonts w:ascii="Arial" w:hAnsi="Arial" w:cs="Arial"/>
          <w:b/>
          <w:bCs/>
          <w:color w:val="000000" w:themeColor="text1"/>
          <w:sz w:val="20"/>
          <w:szCs w:val="20"/>
          <w:u w:val="single"/>
        </w:rPr>
        <w:t xml:space="preserve"> the Health Care Workforce Shortage </w:t>
      </w:r>
    </w:p>
    <w:p w14:paraId="7C258718" w14:textId="77777777" w:rsidR="00287DEC" w:rsidRDefault="00287DEC" w:rsidP="00365A8B">
      <w:pPr>
        <w:pStyle w:val="Default"/>
        <w:rPr>
          <w:rFonts w:ascii="Arial" w:hAnsi="Arial" w:cs="Arial"/>
          <w:b/>
          <w:bCs/>
          <w:color w:val="000000" w:themeColor="text1"/>
          <w:sz w:val="20"/>
          <w:szCs w:val="20"/>
          <w:u w:val="single"/>
        </w:rPr>
      </w:pPr>
    </w:p>
    <w:p w14:paraId="6630421A" w14:textId="2280D4FF" w:rsidR="006B5C3B" w:rsidRDefault="006B5C3B" w:rsidP="00365A8B">
      <w:pPr>
        <w:spacing w:line="276" w:lineRule="auto"/>
        <w:rPr>
          <w:rFonts w:ascii="Arial" w:hAnsi="Arial" w:cs="Arial"/>
          <w:szCs w:val="20"/>
        </w:rPr>
      </w:pPr>
      <w:r w:rsidRPr="00B66093">
        <w:rPr>
          <w:rFonts w:ascii="Arial" w:hAnsi="Arial" w:cs="Arial"/>
          <w:szCs w:val="20"/>
        </w:rPr>
        <w:t>As you know, older adult patients require higher levels of care due to greater incidence of chronic disease, which will increase the demand for physician services on a smaller pool of available physicians.</w:t>
      </w:r>
      <w:r w:rsidR="00CE0FF4" w:rsidRPr="00B66093">
        <w:rPr>
          <w:rFonts w:ascii="Arial" w:hAnsi="Arial" w:cs="Arial"/>
          <w:szCs w:val="20"/>
        </w:rPr>
        <w:t xml:space="preserve"> Therefore</w:t>
      </w:r>
      <w:r w:rsidR="00CE0FF4">
        <w:rPr>
          <w:rFonts w:ascii="Arial" w:hAnsi="Arial" w:cs="Arial"/>
          <w:szCs w:val="20"/>
        </w:rPr>
        <w:t xml:space="preserve">, it is imperative to grow the physician workforce. The </w:t>
      </w:r>
      <w:r w:rsidRPr="004A1D33">
        <w:rPr>
          <w:rFonts w:ascii="Arial" w:hAnsi="Arial" w:cs="Arial"/>
          <w:szCs w:val="20"/>
        </w:rPr>
        <w:t>Association of American Medical Colleges (AAMC)</w:t>
      </w:r>
      <w:r>
        <w:rPr>
          <w:rFonts w:ascii="Arial" w:hAnsi="Arial" w:cs="Arial"/>
          <w:szCs w:val="20"/>
        </w:rPr>
        <w:t xml:space="preserve"> is projecting that the </w:t>
      </w:r>
      <w:r w:rsidRPr="00C5019F">
        <w:rPr>
          <w:rFonts w:ascii="Arial" w:hAnsi="Arial" w:cs="Arial"/>
          <w:szCs w:val="20"/>
        </w:rPr>
        <w:t xml:space="preserve">United States </w:t>
      </w:r>
      <w:r>
        <w:rPr>
          <w:rFonts w:ascii="Arial" w:hAnsi="Arial" w:cs="Arial"/>
          <w:szCs w:val="20"/>
        </w:rPr>
        <w:t>will face</w:t>
      </w:r>
      <w:r w:rsidRPr="00C5019F">
        <w:rPr>
          <w:rFonts w:ascii="Arial" w:hAnsi="Arial" w:cs="Arial"/>
          <w:szCs w:val="20"/>
        </w:rPr>
        <w:t xml:space="preserve"> a shortage of up to 124,000 physicians by 2034</w:t>
      </w:r>
      <w:r>
        <w:rPr>
          <w:rFonts w:ascii="Arial" w:hAnsi="Arial" w:cs="Arial"/>
          <w:szCs w:val="20"/>
        </w:rPr>
        <w:t>.</w:t>
      </w:r>
      <w:r w:rsidRPr="00C5019F">
        <w:rPr>
          <w:rFonts w:ascii="Arial" w:hAnsi="Arial" w:cs="Arial"/>
          <w:szCs w:val="20"/>
        </w:rPr>
        <w:t xml:space="preserve"> </w:t>
      </w:r>
      <w:r w:rsidRPr="009D1488">
        <w:rPr>
          <w:rFonts w:ascii="Arial" w:hAnsi="Arial" w:cs="Arial"/>
          <w:szCs w:val="20"/>
        </w:rPr>
        <w:t xml:space="preserve">The CAP appreciates that </w:t>
      </w:r>
      <w:r w:rsidRPr="00C5019F">
        <w:rPr>
          <w:rFonts w:ascii="Arial" w:hAnsi="Arial" w:cs="Arial"/>
          <w:szCs w:val="20"/>
        </w:rPr>
        <w:t xml:space="preserve">Congress made a critical initial investment in the </w:t>
      </w:r>
      <w:r w:rsidRPr="00C5019F">
        <w:rPr>
          <w:rFonts w:ascii="Arial" w:hAnsi="Arial" w:cs="Arial"/>
          <w:szCs w:val="20"/>
        </w:rPr>
        <w:lastRenderedPageBreak/>
        <w:t xml:space="preserve">physician workforce by providing </w:t>
      </w:r>
      <w:r w:rsidRPr="009D1488">
        <w:rPr>
          <w:rFonts w:ascii="Arial" w:hAnsi="Arial" w:cs="Arial"/>
          <w:szCs w:val="20"/>
        </w:rPr>
        <w:t xml:space="preserve">1,000 Medicare-supported </w:t>
      </w:r>
      <w:r>
        <w:rPr>
          <w:rFonts w:ascii="Arial" w:hAnsi="Arial" w:cs="Arial"/>
          <w:szCs w:val="20"/>
        </w:rPr>
        <w:t>graduate medical education (</w:t>
      </w:r>
      <w:r w:rsidRPr="009D1488">
        <w:rPr>
          <w:rFonts w:ascii="Arial" w:hAnsi="Arial" w:cs="Arial"/>
          <w:szCs w:val="20"/>
        </w:rPr>
        <w:t>GME</w:t>
      </w:r>
      <w:r>
        <w:rPr>
          <w:rFonts w:ascii="Arial" w:hAnsi="Arial" w:cs="Arial"/>
          <w:szCs w:val="20"/>
        </w:rPr>
        <w:t>)</w:t>
      </w:r>
      <w:r w:rsidRPr="009D1488">
        <w:rPr>
          <w:rFonts w:ascii="Arial" w:hAnsi="Arial" w:cs="Arial"/>
          <w:szCs w:val="20"/>
        </w:rPr>
        <w:t xml:space="preserve"> positions in the Consolidated Appropriations Act of 2021 and 200 Medicare-supported GME positions in the Consolidated Appropriations Act of 2023</w:t>
      </w:r>
      <w:r>
        <w:rPr>
          <w:rFonts w:ascii="Arial" w:hAnsi="Arial" w:cs="Arial"/>
          <w:szCs w:val="20"/>
        </w:rPr>
        <w:t>. However, these should be viewed as a</w:t>
      </w:r>
      <w:r w:rsidRPr="009D1488">
        <w:rPr>
          <w:rFonts w:ascii="Arial" w:hAnsi="Arial" w:cs="Arial"/>
          <w:szCs w:val="20"/>
        </w:rPr>
        <w:t xml:space="preserve"> down payment for a much larger </w:t>
      </w:r>
      <w:r>
        <w:rPr>
          <w:rFonts w:ascii="Arial" w:hAnsi="Arial" w:cs="Arial"/>
          <w:szCs w:val="20"/>
        </w:rPr>
        <w:t xml:space="preserve">documented </w:t>
      </w:r>
      <w:r w:rsidRPr="009D1488">
        <w:rPr>
          <w:rFonts w:ascii="Arial" w:hAnsi="Arial" w:cs="Arial"/>
          <w:szCs w:val="20"/>
        </w:rPr>
        <w:t xml:space="preserve">need. </w:t>
      </w:r>
    </w:p>
    <w:p w14:paraId="6464BA42" w14:textId="77777777" w:rsidR="006B5C3B" w:rsidRDefault="006B5C3B" w:rsidP="00365A8B">
      <w:pPr>
        <w:spacing w:line="276" w:lineRule="auto"/>
        <w:rPr>
          <w:rFonts w:ascii="Arial" w:hAnsi="Arial" w:cs="Arial"/>
          <w:szCs w:val="20"/>
        </w:rPr>
      </w:pPr>
    </w:p>
    <w:p w14:paraId="074A5584" w14:textId="77777777" w:rsidR="006B5C3B" w:rsidRDefault="006B5C3B" w:rsidP="00365A8B">
      <w:pPr>
        <w:spacing w:line="276" w:lineRule="auto"/>
        <w:rPr>
          <w:rFonts w:ascii="Arial" w:hAnsi="Arial" w:cs="Arial"/>
          <w:szCs w:val="20"/>
        </w:rPr>
      </w:pPr>
      <w:r w:rsidRPr="00C5019F">
        <w:rPr>
          <w:rFonts w:ascii="Arial" w:hAnsi="Arial" w:cs="Arial"/>
          <w:szCs w:val="20"/>
        </w:rPr>
        <w:t xml:space="preserve">The demand for trained pathologists continues to far exceed the supply provided by the number of existing residency positions. Data from the CAP’s 2021 Practice Leader Survey is suggestive of a nationwide demand of 1,000-1,200 pathologists to fill open positions in the United States in recent years, and these numbers are substantially lower than the demand that is being reported for 2022. In contrast, over the last decade or so, there have been approximately 620 pathologist residency positions available each year. </w:t>
      </w:r>
      <w:r w:rsidRPr="009D1488">
        <w:rPr>
          <w:rFonts w:ascii="Arial" w:hAnsi="Arial" w:cs="Arial"/>
          <w:szCs w:val="20"/>
        </w:rPr>
        <w:t xml:space="preserve">To meet the increased demand for pathologists and other physicians, there must be a larger investment in training. </w:t>
      </w:r>
      <w:r>
        <w:rPr>
          <w:rFonts w:ascii="Arial" w:hAnsi="Arial" w:cs="Arial"/>
          <w:szCs w:val="20"/>
        </w:rPr>
        <w:t xml:space="preserve">As such, the CAP asks the Committee to support the following bills: </w:t>
      </w:r>
    </w:p>
    <w:p w14:paraId="032B2468" w14:textId="77777777" w:rsidR="0071367B" w:rsidRDefault="0071367B" w:rsidP="00365A8B">
      <w:pPr>
        <w:spacing w:line="276" w:lineRule="auto"/>
        <w:rPr>
          <w:rFonts w:ascii="Arial" w:hAnsi="Arial" w:cs="Arial"/>
          <w:szCs w:val="20"/>
        </w:rPr>
      </w:pPr>
    </w:p>
    <w:bookmarkEnd w:id="2"/>
    <w:p w14:paraId="1A331525" w14:textId="5AD26767" w:rsidR="00A87E03" w:rsidRDefault="0071367B" w:rsidP="00365A8B">
      <w:pPr>
        <w:pStyle w:val="ListParagraph"/>
        <w:numPr>
          <w:ilvl w:val="0"/>
          <w:numId w:val="23"/>
        </w:numPr>
        <w:spacing w:line="276" w:lineRule="auto"/>
        <w:rPr>
          <w:rFonts w:ascii="Arial" w:hAnsi="Arial" w:cs="Arial"/>
          <w:szCs w:val="20"/>
        </w:rPr>
      </w:pPr>
      <w:r>
        <w:rPr>
          <w:rFonts w:ascii="Arial" w:hAnsi="Arial" w:cs="Arial"/>
          <w:szCs w:val="20"/>
          <w:u w:val="single"/>
        </w:rPr>
        <w:t xml:space="preserve">Pass </w:t>
      </w:r>
      <w:r w:rsidR="00CE0FF4">
        <w:rPr>
          <w:rFonts w:ascii="Arial" w:hAnsi="Arial" w:cs="Arial"/>
          <w:szCs w:val="20"/>
          <w:u w:val="single"/>
        </w:rPr>
        <w:t>S. 1302</w:t>
      </w:r>
      <w:r w:rsidR="00A87E03" w:rsidRPr="003043F6">
        <w:rPr>
          <w:rFonts w:ascii="Arial" w:hAnsi="Arial" w:cs="Arial"/>
          <w:szCs w:val="20"/>
          <w:u w:val="single"/>
        </w:rPr>
        <w:t xml:space="preserve">, </w:t>
      </w:r>
      <w:r w:rsidR="00A87E03" w:rsidRPr="003043F6">
        <w:rPr>
          <w:rFonts w:ascii="Arial" w:hAnsi="Arial" w:cs="Arial"/>
          <w:i/>
          <w:iCs/>
          <w:szCs w:val="20"/>
          <w:u w:val="single"/>
        </w:rPr>
        <w:t>The Resident Physician Shortage Reduction Act</w:t>
      </w:r>
      <w:r w:rsidR="00A87E03">
        <w:rPr>
          <w:rFonts w:ascii="Arial" w:hAnsi="Arial" w:cs="Arial"/>
          <w:szCs w:val="20"/>
        </w:rPr>
        <w:t xml:space="preserve">. </w:t>
      </w:r>
      <w:r w:rsidR="00CE0FF4">
        <w:rPr>
          <w:rFonts w:ascii="Arial" w:hAnsi="Arial" w:cs="Arial"/>
          <w:szCs w:val="20"/>
        </w:rPr>
        <w:t>S. 1302</w:t>
      </w:r>
      <w:r w:rsidR="00A87E03" w:rsidRPr="003043F6">
        <w:rPr>
          <w:rFonts w:ascii="Arial" w:hAnsi="Arial" w:cs="Arial"/>
          <w:szCs w:val="20"/>
        </w:rPr>
        <w:t xml:space="preserve"> would provide 14,000 new Medicare-supported GME positions over seven years. While these 14,000 positions would not be enough to remedy the</w:t>
      </w:r>
      <w:r w:rsidR="00A87E03">
        <w:rPr>
          <w:rFonts w:ascii="Arial" w:hAnsi="Arial" w:cs="Arial"/>
          <w:szCs w:val="20"/>
        </w:rPr>
        <w:t xml:space="preserve"> over 100,000 plus</w:t>
      </w:r>
      <w:r w:rsidR="00A87E03" w:rsidRPr="003043F6">
        <w:rPr>
          <w:rFonts w:ascii="Arial" w:hAnsi="Arial" w:cs="Arial"/>
          <w:szCs w:val="20"/>
        </w:rPr>
        <w:t xml:space="preserve"> </w:t>
      </w:r>
      <w:r w:rsidR="00A87E03">
        <w:rPr>
          <w:rFonts w:ascii="Arial" w:hAnsi="Arial" w:cs="Arial"/>
          <w:szCs w:val="20"/>
        </w:rPr>
        <w:t xml:space="preserve">physician </w:t>
      </w:r>
      <w:r w:rsidR="00A87E03" w:rsidRPr="003043F6">
        <w:rPr>
          <w:rFonts w:ascii="Arial" w:hAnsi="Arial" w:cs="Arial"/>
          <w:szCs w:val="20"/>
        </w:rPr>
        <w:t>shortage,</w:t>
      </w:r>
      <w:r w:rsidR="00A87E03">
        <w:rPr>
          <w:rFonts w:ascii="Arial" w:hAnsi="Arial" w:cs="Arial"/>
          <w:szCs w:val="20"/>
        </w:rPr>
        <w:t xml:space="preserve"> </w:t>
      </w:r>
      <w:r w:rsidR="00A87E03" w:rsidRPr="003043F6">
        <w:rPr>
          <w:rFonts w:ascii="Arial" w:hAnsi="Arial" w:cs="Arial"/>
          <w:szCs w:val="20"/>
        </w:rPr>
        <w:t xml:space="preserve">they are a critical step in the right direction. These positions would be targeted at hospitals with diverse needs, rural teaching hospitals, hospitals currently training over their Medicare caps, hospitals in states with new medical schools, and hospitals serving patients in health professional shortage areas. </w:t>
      </w:r>
    </w:p>
    <w:p w14:paraId="4D1B2819" w14:textId="77777777" w:rsidR="002E6414" w:rsidRDefault="002E6414" w:rsidP="007529D2">
      <w:pPr>
        <w:pStyle w:val="ListParagraph"/>
        <w:spacing w:line="276" w:lineRule="auto"/>
        <w:rPr>
          <w:rFonts w:ascii="Arial" w:hAnsi="Arial" w:cs="Arial"/>
          <w:szCs w:val="20"/>
        </w:rPr>
      </w:pPr>
    </w:p>
    <w:p w14:paraId="0AD03A83" w14:textId="7DEB0421" w:rsidR="00A87E03" w:rsidRDefault="00A87E03" w:rsidP="00365A8B">
      <w:pPr>
        <w:pStyle w:val="ListParagraph"/>
        <w:numPr>
          <w:ilvl w:val="0"/>
          <w:numId w:val="23"/>
        </w:numPr>
        <w:spacing w:line="276" w:lineRule="auto"/>
        <w:rPr>
          <w:rFonts w:ascii="Arial" w:hAnsi="Arial" w:cs="Arial"/>
          <w:szCs w:val="20"/>
        </w:rPr>
      </w:pPr>
      <w:r w:rsidRPr="00704066">
        <w:rPr>
          <w:rFonts w:ascii="Arial" w:hAnsi="Arial" w:cs="Arial"/>
          <w:szCs w:val="20"/>
          <w:u w:val="single"/>
        </w:rPr>
        <w:t xml:space="preserve">Encourage committee members to support </w:t>
      </w:r>
      <w:r w:rsidR="00CE0FF4">
        <w:rPr>
          <w:rFonts w:ascii="Arial" w:hAnsi="Arial" w:cs="Arial"/>
          <w:szCs w:val="20"/>
          <w:u w:val="single"/>
        </w:rPr>
        <w:t>S. 665</w:t>
      </w:r>
      <w:r w:rsidRPr="00704066">
        <w:rPr>
          <w:rFonts w:ascii="Arial" w:hAnsi="Arial" w:cs="Arial"/>
          <w:szCs w:val="20"/>
          <w:u w:val="single"/>
        </w:rPr>
        <w:t xml:space="preserve">, </w:t>
      </w:r>
      <w:r w:rsidRPr="00704066">
        <w:rPr>
          <w:rFonts w:ascii="Arial" w:hAnsi="Arial" w:cs="Arial"/>
          <w:i/>
          <w:iCs/>
          <w:szCs w:val="20"/>
          <w:u w:val="single"/>
        </w:rPr>
        <w:t>the CAP supports the Conrad State 30 and Physician Access Reauthorization Act</w:t>
      </w:r>
      <w:r w:rsidRPr="00704066">
        <w:rPr>
          <w:rFonts w:ascii="Arial" w:hAnsi="Arial" w:cs="Arial"/>
          <w:szCs w:val="20"/>
          <w:u w:val="single"/>
        </w:rPr>
        <w:t>.</w:t>
      </w:r>
      <w:r w:rsidRPr="003043F6">
        <w:rPr>
          <w:rFonts w:ascii="Arial" w:hAnsi="Arial" w:cs="Arial"/>
          <w:szCs w:val="20"/>
        </w:rPr>
        <w:t xml:space="preserve"> </w:t>
      </w:r>
      <w:r w:rsidR="00CE0FF4">
        <w:rPr>
          <w:rFonts w:ascii="Arial" w:hAnsi="Arial" w:cs="Arial"/>
          <w:szCs w:val="20"/>
        </w:rPr>
        <w:t xml:space="preserve">S. 665 </w:t>
      </w:r>
      <w:r w:rsidRPr="003043F6">
        <w:rPr>
          <w:rFonts w:ascii="Arial" w:hAnsi="Arial" w:cs="Arial"/>
          <w:szCs w:val="20"/>
        </w:rPr>
        <w:t xml:space="preserve">will increase the number of waivers for a state from 30 to 35 and incentivize qualified IMGs who are citizens of other nations to work in underserved communities. For agreeing to these terms, physicians will not have to leave the U.S. for two years before they are eligible to apply for an immigrant visa or permanent residence, thus allowing them to begin to provide necessary patient care </w:t>
      </w:r>
      <w:r>
        <w:rPr>
          <w:rFonts w:ascii="Arial" w:hAnsi="Arial" w:cs="Arial"/>
          <w:szCs w:val="20"/>
        </w:rPr>
        <w:t xml:space="preserve">in rural and underserved areas </w:t>
      </w:r>
      <w:r w:rsidRPr="003043F6">
        <w:rPr>
          <w:rFonts w:ascii="Arial" w:hAnsi="Arial" w:cs="Arial"/>
          <w:szCs w:val="20"/>
        </w:rPr>
        <w:t xml:space="preserve">upon finishing their residency. IMGs are an important part of our nation’s health care system and currently represent 25% of the physician workforce. </w:t>
      </w:r>
    </w:p>
    <w:p w14:paraId="54B883DB" w14:textId="77777777" w:rsidR="00A87E03" w:rsidRDefault="00A87E03" w:rsidP="00365A8B">
      <w:pPr>
        <w:spacing w:line="276" w:lineRule="auto"/>
        <w:rPr>
          <w:rFonts w:ascii="Arial" w:hAnsi="Arial" w:cs="Arial"/>
          <w:szCs w:val="20"/>
        </w:rPr>
      </w:pPr>
    </w:p>
    <w:p w14:paraId="4899248C" w14:textId="6E7909F7" w:rsidR="00C37181" w:rsidRDefault="00C37181" w:rsidP="00365A8B">
      <w:pPr>
        <w:pStyle w:val="Default"/>
        <w:rPr>
          <w:rFonts w:ascii="Arial" w:hAnsi="Arial" w:cs="Arial"/>
          <w:b/>
          <w:bCs/>
          <w:color w:val="000000" w:themeColor="text1"/>
          <w:sz w:val="20"/>
          <w:szCs w:val="20"/>
          <w:u w:val="single"/>
        </w:rPr>
      </w:pPr>
      <w:r>
        <w:rPr>
          <w:rFonts w:ascii="Arial" w:hAnsi="Arial" w:cs="Arial"/>
          <w:b/>
          <w:bCs/>
          <w:color w:val="000000" w:themeColor="text1"/>
          <w:sz w:val="20"/>
          <w:szCs w:val="20"/>
          <w:u w:val="single"/>
        </w:rPr>
        <w:t>Insurer</w:t>
      </w:r>
      <w:r w:rsidR="00385776">
        <w:rPr>
          <w:rFonts w:ascii="Arial" w:hAnsi="Arial" w:cs="Arial"/>
          <w:b/>
          <w:bCs/>
          <w:color w:val="000000" w:themeColor="text1"/>
          <w:sz w:val="20"/>
          <w:szCs w:val="20"/>
          <w:u w:val="single"/>
        </w:rPr>
        <w:t>-</w:t>
      </w:r>
      <w:r>
        <w:rPr>
          <w:rFonts w:ascii="Arial" w:hAnsi="Arial" w:cs="Arial"/>
          <w:b/>
          <w:bCs/>
          <w:color w:val="000000" w:themeColor="text1"/>
          <w:sz w:val="20"/>
          <w:szCs w:val="20"/>
          <w:u w:val="single"/>
        </w:rPr>
        <w:t>Imposed Policies</w:t>
      </w:r>
      <w:r w:rsidR="00287DEC">
        <w:rPr>
          <w:rFonts w:ascii="Arial" w:hAnsi="Arial" w:cs="Arial"/>
          <w:b/>
          <w:bCs/>
          <w:color w:val="000000" w:themeColor="text1"/>
          <w:sz w:val="20"/>
          <w:szCs w:val="20"/>
          <w:u w:val="single"/>
        </w:rPr>
        <w:t xml:space="preserve"> Impacting Patient Care</w:t>
      </w:r>
    </w:p>
    <w:p w14:paraId="6ED2DAF3" w14:textId="77777777" w:rsidR="00287DEC" w:rsidRDefault="00287DEC" w:rsidP="00365A8B">
      <w:pPr>
        <w:pStyle w:val="Default"/>
        <w:rPr>
          <w:rFonts w:ascii="Arial" w:hAnsi="Arial" w:cs="Arial"/>
          <w:b/>
          <w:bCs/>
          <w:color w:val="000000" w:themeColor="text1"/>
          <w:sz w:val="20"/>
          <w:szCs w:val="20"/>
          <w:u w:val="single"/>
        </w:rPr>
      </w:pPr>
    </w:p>
    <w:p w14:paraId="25D1BB2D" w14:textId="34804723" w:rsidR="00C37181" w:rsidRDefault="00385776" w:rsidP="00365A8B">
      <w:pPr>
        <w:pStyle w:val="Default"/>
        <w:rPr>
          <w:rFonts w:ascii="Arial" w:hAnsi="Arial" w:cs="Arial"/>
          <w:color w:val="000000" w:themeColor="text1"/>
          <w:sz w:val="20"/>
          <w:szCs w:val="20"/>
        </w:rPr>
      </w:pPr>
      <w:r>
        <w:rPr>
          <w:rFonts w:ascii="Arial" w:hAnsi="Arial" w:cs="Arial"/>
          <w:color w:val="000000" w:themeColor="text1"/>
          <w:sz w:val="20"/>
          <w:szCs w:val="20"/>
        </w:rPr>
        <w:t>Increasingly</w:t>
      </w:r>
      <w:r w:rsidR="00C37181" w:rsidRPr="00C37181">
        <w:rPr>
          <w:rFonts w:ascii="Arial" w:hAnsi="Arial" w:cs="Arial"/>
          <w:color w:val="000000" w:themeColor="text1"/>
          <w:sz w:val="20"/>
          <w:szCs w:val="20"/>
        </w:rPr>
        <w:t xml:space="preserve">, </w:t>
      </w:r>
      <w:r w:rsidR="00C37181">
        <w:rPr>
          <w:rFonts w:ascii="Arial" w:hAnsi="Arial" w:cs="Arial"/>
          <w:color w:val="000000" w:themeColor="text1"/>
          <w:sz w:val="20"/>
          <w:szCs w:val="20"/>
        </w:rPr>
        <w:t>our members are</w:t>
      </w:r>
      <w:r w:rsidR="00C37181" w:rsidRPr="00C37181">
        <w:rPr>
          <w:rFonts w:ascii="Arial" w:hAnsi="Arial" w:cs="Arial"/>
          <w:color w:val="000000" w:themeColor="text1"/>
          <w:sz w:val="20"/>
          <w:szCs w:val="20"/>
        </w:rPr>
        <w:t xml:space="preserve"> experiencing instances of improper practices by insurers, which has direct implications for patient care</w:t>
      </w:r>
      <w:r w:rsidR="00C37181">
        <w:rPr>
          <w:rFonts w:ascii="Arial" w:hAnsi="Arial" w:cs="Arial"/>
          <w:color w:val="000000" w:themeColor="text1"/>
          <w:sz w:val="20"/>
          <w:szCs w:val="20"/>
        </w:rPr>
        <w:t xml:space="preserve">, </w:t>
      </w:r>
      <w:r w:rsidR="00C37181" w:rsidRPr="00B66093">
        <w:rPr>
          <w:rFonts w:ascii="Arial" w:hAnsi="Arial" w:cs="Arial"/>
          <w:color w:val="000000" w:themeColor="text1"/>
          <w:sz w:val="20"/>
          <w:szCs w:val="20"/>
        </w:rPr>
        <w:t>including those with chronic conditions, and coverage. With the passage of federal legislation to address surprise billing, health insurance plans are increasingly relying on narrow and often inadequate networks of contracted physicians, hospitals, and other providers to shift medically necessary health care costs onto their enrollees</w:t>
      </w:r>
      <w:r w:rsidR="00CB4AC9" w:rsidRPr="00B66093">
        <w:rPr>
          <w:rFonts w:ascii="Arial" w:hAnsi="Arial" w:cs="Arial"/>
          <w:color w:val="000000" w:themeColor="text1"/>
          <w:sz w:val="20"/>
          <w:szCs w:val="20"/>
        </w:rPr>
        <w:t>, which can be especially burdensome to those with multiple chronic conditions</w:t>
      </w:r>
      <w:r w:rsidR="00C37181" w:rsidRPr="00B66093">
        <w:rPr>
          <w:rFonts w:ascii="Arial" w:hAnsi="Arial" w:cs="Arial"/>
          <w:color w:val="000000" w:themeColor="text1"/>
          <w:sz w:val="20"/>
          <w:szCs w:val="20"/>
        </w:rPr>
        <w:t>. For example, although it has</w:t>
      </w:r>
      <w:r w:rsidR="00C37181" w:rsidRPr="00C37181">
        <w:rPr>
          <w:rFonts w:ascii="Arial" w:hAnsi="Arial" w:cs="Arial"/>
          <w:color w:val="000000" w:themeColor="text1"/>
          <w:sz w:val="20"/>
          <w:szCs w:val="20"/>
        </w:rPr>
        <w:t xml:space="preserve"> made changes to the program, in 2021 UnitedHealthcare tried to roll out a “benefit design” that requires laboratories to meet UnitedHealthcare-determined efficiency and quality requirements </w:t>
      </w:r>
      <w:r w:rsidR="00CB4AC9" w:rsidRPr="00C37181">
        <w:rPr>
          <w:rFonts w:ascii="Arial" w:hAnsi="Arial" w:cs="Arial"/>
          <w:color w:val="000000" w:themeColor="text1"/>
          <w:sz w:val="20"/>
          <w:szCs w:val="20"/>
        </w:rPr>
        <w:t>to</w:t>
      </w:r>
      <w:r w:rsidR="00C37181" w:rsidRPr="00C37181">
        <w:rPr>
          <w:rFonts w:ascii="Arial" w:hAnsi="Arial" w:cs="Arial"/>
          <w:color w:val="000000" w:themeColor="text1"/>
          <w:sz w:val="20"/>
          <w:szCs w:val="20"/>
        </w:rPr>
        <w:t xml:space="preserve"> become a “Designated Diagnostic Provider” or DDP. Facilities that did not meet these requirements (non-DDP facilities) would “remain in network,” but UnitedHealthcare would not cover outpatient diagnostic laboratory services provided by these facilities, leaving patients “liable for charges.” Even with recent </w:t>
      </w:r>
      <w:r w:rsidR="00C37181" w:rsidRPr="00C37181">
        <w:rPr>
          <w:rFonts w:ascii="Arial" w:hAnsi="Arial" w:cs="Arial"/>
          <w:color w:val="000000" w:themeColor="text1"/>
          <w:sz w:val="20"/>
          <w:szCs w:val="20"/>
        </w:rPr>
        <w:lastRenderedPageBreak/>
        <w:t>modifications, the CAP believes UnitedHealthcare policies that subject patients to an increased payment for services received at in-network, but non-DDP facilities, is counter to efforts to protect patients and eliminate surprise medical bills.</w:t>
      </w:r>
    </w:p>
    <w:p w14:paraId="62FCDC59" w14:textId="77777777" w:rsidR="00BC0183" w:rsidRDefault="00BC0183" w:rsidP="00365A8B">
      <w:pPr>
        <w:pStyle w:val="Default"/>
        <w:rPr>
          <w:rFonts w:ascii="Arial" w:hAnsi="Arial" w:cs="Arial"/>
          <w:color w:val="000000" w:themeColor="text1"/>
          <w:sz w:val="20"/>
          <w:szCs w:val="20"/>
        </w:rPr>
      </w:pPr>
    </w:p>
    <w:p w14:paraId="4332A94A" w14:textId="6856F67C" w:rsidR="00BC0183" w:rsidRPr="00C37181" w:rsidRDefault="00BC0183" w:rsidP="00365A8B">
      <w:pPr>
        <w:pStyle w:val="Default"/>
        <w:rPr>
          <w:rFonts w:ascii="Arial" w:hAnsi="Arial" w:cs="Arial"/>
          <w:color w:val="000000" w:themeColor="text1"/>
          <w:sz w:val="20"/>
          <w:szCs w:val="20"/>
        </w:rPr>
      </w:pPr>
      <w:r>
        <w:rPr>
          <w:rFonts w:ascii="Arial" w:hAnsi="Arial" w:cs="Arial"/>
          <w:color w:val="000000" w:themeColor="text1"/>
          <w:sz w:val="20"/>
          <w:szCs w:val="20"/>
        </w:rPr>
        <w:t xml:space="preserve">Other insurers are keeping facilities in-network but imposing restrictive referral requirements that </w:t>
      </w:r>
      <w:r w:rsidRPr="00BC0183">
        <w:rPr>
          <w:rFonts w:ascii="Arial" w:hAnsi="Arial" w:cs="Arial"/>
          <w:color w:val="000000" w:themeColor="text1"/>
          <w:sz w:val="20"/>
          <w:szCs w:val="20"/>
        </w:rPr>
        <w:t xml:space="preserve">result in fractured care and added burden for patients and their physicians. </w:t>
      </w:r>
      <w:r>
        <w:rPr>
          <w:rFonts w:ascii="Arial" w:hAnsi="Arial" w:cs="Arial"/>
          <w:color w:val="000000" w:themeColor="text1"/>
          <w:sz w:val="20"/>
          <w:szCs w:val="20"/>
        </w:rPr>
        <w:t>For example, i</w:t>
      </w:r>
      <w:r w:rsidRPr="00BC0183">
        <w:rPr>
          <w:rFonts w:ascii="Arial" w:hAnsi="Arial" w:cs="Arial"/>
          <w:color w:val="000000" w:themeColor="text1"/>
          <w:sz w:val="20"/>
          <w:szCs w:val="20"/>
        </w:rPr>
        <w:t xml:space="preserve">n situations where </w:t>
      </w:r>
      <w:r>
        <w:rPr>
          <w:rFonts w:ascii="Arial" w:hAnsi="Arial" w:cs="Arial"/>
          <w:color w:val="000000" w:themeColor="text1"/>
          <w:sz w:val="20"/>
          <w:szCs w:val="20"/>
        </w:rPr>
        <w:t>a</w:t>
      </w:r>
      <w:r w:rsidRPr="00BC0183">
        <w:rPr>
          <w:rFonts w:ascii="Arial" w:hAnsi="Arial" w:cs="Arial"/>
          <w:color w:val="000000" w:themeColor="text1"/>
          <w:sz w:val="20"/>
          <w:szCs w:val="20"/>
        </w:rPr>
        <w:t xml:space="preserve"> biopsy leads to further hospital-based care, requiring patient samples to be sent outside the health system either prevents participation of the pathologist who is part of the multidisciplinary team or adds a second physician to the diagnosis, as the hospital-based pathologist will have to confirm the diagnosis and assume responsibility for the patient. There are also logistical challenges and risks in dividing diagnostic material for a single patient. Further, these kinds of requirements can adversely affect appropriate response to acute developments in a patient’s care, and possibly cause significant delay in diagnosis. Some conditions may require rapid evaluation and treatment – not always possible when sending samples to outside laboratories – </w:t>
      </w:r>
      <w:proofErr w:type="gramStart"/>
      <w:r w:rsidRPr="00BC0183">
        <w:rPr>
          <w:rFonts w:ascii="Arial" w:hAnsi="Arial" w:cs="Arial"/>
          <w:color w:val="000000" w:themeColor="text1"/>
          <w:sz w:val="20"/>
          <w:szCs w:val="20"/>
        </w:rPr>
        <w:t>in order to</w:t>
      </w:r>
      <w:proofErr w:type="gramEnd"/>
      <w:r w:rsidRPr="00BC0183">
        <w:rPr>
          <w:rFonts w:ascii="Arial" w:hAnsi="Arial" w:cs="Arial"/>
          <w:color w:val="000000" w:themeColor="text1"/>
          <w:sz w:val="20"/>
          <w:szCs w:val="20"/>
        </w:rPr>
        <w:t xml:space="preserve"> prevent serious, even life-threatening complications. Additionally, for patients who live further away from the health system/hospital, returning to receive care after the results have been returned may be difficult and more likely to result in delayed care and poorer health outcomes.</w:t>
      </w:r>
    </w:p>
    <w:p w14:paraId="7A0668D6" w14:textId="77777777" w:rsidR="00C37181" w:rsidRPr="00C37181" w:rsidRDefault="00C37181" w:rsidP="00365A8B">
      <w:pPr>
        <w:pStyle w:val="Default"/>
        <w:rPr>
          <w:rFonts w:ascii="Arial" w:hAnsi="Arial" w:cs="Arial"/>
          <w:color w:val="000000" w:themeColor="text1"/>
          <w:sz w:val="20"/>
          <w:szCs w:val="20"/>
        </w:rPr>
      </w:pPr>
    </w:p>
    <w:p w14:paraId="46C35D4A" w14:textId="7C00222A" w:rsidR="00C37181" w:rsidRPr="00C37181" w:rsidRDefault="00BC0183" w:rsidP="00385776">
      <w:pPr>
        <w:pStyle w:val="Default"/>
        <w:rPr>
          <w:rFonts w:ascii="Arial" w:hAnsi="Arial" w:cs="Arial"/>
          <w:color w:val="000000" w:themeColor="text1"/>
          <w:sz w:val="20"/>
          <w:szCs w:val="20"/>
        </w:rPr>
      </w:pPr>
      <w:r>
        <w:rPr>
          <w:rFonts w:ascii="Arial" w:hAnsi="Arial" w:cs="Arial"/>
          <w:color w:val="000000" w:themeColor="text1"/>
          <w:sz w:val="20"/>
          <w:szCs w:val="20"/>
        </w:rPr>
        <w:t>Finally</w:t>
      </w:r>
      <w:r w:rsidR="00C37181" w:rsidRPr="00C37181">
        <w:rPr>
          <w:rFonts w:ascii="Arial" w:hAnsi="Arial" w:cs="Arial"/>
          <w:color w:val="000000" w:themeColor="text1"/>
          <w:sz w:val="20"/>
          <w:szCs w:val="20"/>
        </w:rPr>
        <w:t xml:space="preserve">, other health insurance plans are slashing reimbursement across the board – or ceasing reimbursement for critical services altogether – without any individual physician/practice consideration, leaving many pathologists in serious financial jeopardy across the nation. Blanket rate cuts that lower reimbursement below the cost to provide the services threaten the financial viability of many smaller and/or rural laboratories and pathology practices. And many pathologists have little leverage or ability to opt out-of-networks with powerful insurers because of consolidation and insurer control in their health systems and communities. Further, as the American Medical Association recently wrote to the FTC and Department of Justice, “mergers of market power health insurers tend to result in lower than competitive payments to health care providers, but there is no evidence the cost savings are passed through to consumers in the form of lower premiums.” Hindering access to high-quality pathology services through reduced rates or lack of payment for pathology and laboratory services, which adversely affects patient diagnosis, treatment, and outcomes. </w:t>
      </w:r>
    </w:p>
    <w:p w14:paraId="4FDEAE55" w14:textId="77777777" w:rsidR="00C37181" w:rsidRPr="00C37181" w:rsidRDefault="00C37181" w:rsidP="00365A8B">
      <w:pPr>
        <w:pStyle w:val="Default"/>
        <w:rPr>
          <w:rFonts w:ascii="Arial" w:hAnsi="Arial" w:cs="Arial"/>
          <w:color w:val="000000" w:themeColor="text1"/>
          <w:sz w:val="20"/>
          <w:szCs w:val="20"/>
        </w:rPr>
      </w:pPr>
    </w:p>
    <w:p w14:paraId="4EF02253" w14:textId="6BC0C173" w:rsidR="00C37181" w:rsidRPr="00B66093" w:rsidRDefault="00BC0183" w:rsidP="00365A8B">
      <w:pPr>
        <w:pStyle w:val="Default"/>
        <w:rPr>
          <w:rFonts w:ascii="Arial" w:hAnsi="Arial" w:cs="Arial"/>
          <w:color w:val="000000" w:themeColor="text1"/>
          <w:sz w:val="20"/>
          <w:szCs w:val="20"/>
        </w:rPr>
      </w:pPr>
      <w:r>
        <w:rPr>
          <w:rFonts w:ascii="Arial" w:hAnsi="Arial" w:cs="Arial"/>
          <w:color w:val="000000" w:themeColor="text1"/>
          <w:sz w:val="20"/>
          <w:szCs w:val="20"/>
        </w:rPr>
        <w:t>I</w:t>
      </w:r>
      <w:r w:rsidR="00C37181" w:rsidRPr="00C37181">
        <w:rPr>
          <w:rFonts w:ascii="Arial" w:hAnsi="Arial" w:cs="Arial"/>
          <w:color w:val="000000" w:themeColor="text1"/>
          <w:sz w:val="20"/>
          <w:szCs w:val="20"/>
        </w:rPr>
        <w:t>nsurers’ increasing adoption of abusive practices and/or reliance on inadequate networks results in adverse consequences for access to quality patient care to benefit the financial interest of the payer.</w:t>
      </w:r>
      <w:r w:rsidR="00CB4AC9">
        <w:rPr>
          <w:rFonts w:ascii="Arial" w:hAnsi="Arial" w:cs="Arial"/>
          <w:color w:val="000000" w:themeColor="text1"/>
          <w:sz w:val="20"/>
          <w:szCs w:val="20"/>
        </w:rPr>
        <w:t xml:space="preserve"> </w:t>
      </w:r>
      <w:r w:rsidR="00CB4AC9" w:rsidRPr="00CB4AC9">
        <w:rPr>
          <w:rFonts w:ascii="Arial" w:hAnsi="Arial" w:cs="Arial"/>
          <w:color w:val="000000" w:themeColor="text1"/>
          <w:sz w:val="20"/>
          <w:szCs w:val="20"/>
        </w:rPr>
        <w:t>Now more than ever, patients</w:t>
      </w:r>
      <w:r>
        <w:rPr>
          <w:rFonts w:ascii="Arial" w:hAnsi="Arial" w:cs="Arial"/>
          <w:color w:val="000000" w:themeColor="text1"/>
          <w:sz w:val="20"/>
          <w:szCs w:val="20"/>
        </w:rPr>
        <w:t xml:space="preserve"> </w:t>
      </w:r>
      <w:r w:rsidR="00CB4AC9" w:rsidRPr="00B66093">
        <w:rPr>
          <w:rFonts w:ascii="Arial" w:hAnsi="Arial" w:cs="Arial"/>
          <w:color w:val="000000" w:themeColor="text1"/>
          <w:sz w:val="20"/>
          <w:szCs w:val="20"/>
        </w:rPr>
        <w:t xml:space="preserve">– </w:t>
      </w:r>
      <w:r w:rsidRPr="00B66093">
        <w:rPr>
          <w:rFonts w:ascii="Arial" w:hAnsi="Arial" w:cs="Arial"/>
          <w:color w:val="000000" w:themeColor="text1"/>
          <w:sz w:val="20"/>
          <w:szCs w:val="20"/>
        </w:rPr>
        <w:t>especially those with chronic conditions</w:t>
      </w:r>
      <w:r w:rsidR="00CB4AC9" w:rsidRPr="00B66093">
        <w:rPr>
          <w:rFonts w:ascii="Arial" w:hAnsi="Arial" w:cs="Arial"/>
          <w:color w:val="000000" w:themeColor="text1"/>
          <w:sz w:val="20"/>
          <w:szCs w:val="20"/>
        </w:rPr>
        <w:t xml:space="preserve"> – </w:t>
      </w:r>
      <w:r w:rsidRPr="00B66093">
        <w:rPr>
          <w:rFonts w:ascii="Arial" w:hAnsi="Arial" w:cs="Arial"/>
          <w:color w:val="000000" w:themeColor="text1"/>
          <w:sz w:val="20"/>
          <w:szCs w:val="20"/>
        </w:rPr>
        <w:t xml:space="preserve">and their treating physicians </w:t>
      </w:r>
      <w:r w:rsidR="00CB4AC9" w:rsidRPr="00B66093">
        <w:rPr>
          <w:rFonts w:ascii="Arial" w:hAnsi="Arial" w:cs="Arial"/>
          <w:color w:val="000000" w:themeColor="text1"/>
          <w:sz w:val="20"/>
          <w:szCs w:val="20"/>
        </w:rPr>
        <w:t>are relying on the expertise of pathologists and the availability of appropriate testing.</w:t>
      </w:r>
    </w:p>
    <w:p w14:paraId="56C30E99" w14:textId="77777777" w:rsidR="00C37181" w:rsidRPr="00B66093" w:rsidRDefault="00C37181" w:rsidP="00365A8B">
      <w:pPr>
        <w:pStyle w:val="Default"/>
        <w:rPr>
          <w:rFonts w:ascii="Arial" w:hAnsi="Arial" w:cs="Arial"/>
          <w:b/>
          <w:bCs/>
          <w:color w:val="000000" w:themeColor="text1"/>
          <w:sz w:val="20"/>
          <w:szCs w:val="20"/>
          <w:u w:val="single"/>
        </w:rPr>
      </w:pPr>
    </w:p>
    <w:p w14:paraId="40B3064C" w14:textId="5CCA5814" w:rsidR="00A87E03" w:rsidRPr="00B66093" w:rsidRDefault="00FD3690" w:rsidP="00365A8B">
      <w:pPr>
        <w:pStyle w:val="Default"/>
        <w:rPr>
          <w:rFonts w:ascii="Arial" w:hAnsi="Arial" w:cs="Arial"/>
          <w:b/>
          <w:bCs/>
          <w:color w:val="000000" w:themeColor="text1"/>
          <w:sz w:val="20"/>
          <w:szCs w:val="20"/>
          <w:u w:val="single"/>
        </w:rPr>
      </w:pPr>
      <w:r w:rsidRPr="00B66093">
        <w:rPr>
          <w:rFonts w:ascii="Arial" w:hAnsi="Arial" w:cs="Arial"/>
          <w:b/>
          <w:bCs/>
          <w:color w:val="000000" w:themeColor="text1"/>
          <w:sz w:val="20"/>
          <w:szCs w:val="20"/>
          <w:u w:val="single"/>
        </w:rPr>
        <w:t xml:space="preserve">Meaningful </w:t>
      </w:r>
      <w:r w:rsidR="00287DEC" w:rsidRPr="00B66093">
        <w:rPr>
          <w:rFonts w:ascii="Arial" w:hAnsi="Arial" w:cs="Arial"/>
          <w:b/>
          <w:bCs/>
          <w:color w:val="000000" w:themeColor="text1"/>
          <w:sz w:val="20"/>
          <w:szCs w:val="20"/>
          <w:u w:val="single"/>
        </w:rPr>
        <w:t>Sources of Health Care Spending</w:t>
      </w:r>
    </w:p>
    <w:p w14:paraId="007B2D51" w14:textId="77777777" w:rsidR="00287DEC" w:rsidRPr="00B66093" w:rsidRDefault="00287DEC" w:rsidP="00365A8B">
      <w:pPr>
        <w:pStyle w:val="Default"/>
        <w:rPr>
          <w:rFonts w:ascii="Arial" w:hAnsi="Arial" w:cs="Arial"/>
          <w:b/>
          <w:bCs/>
          <w:szCs w:val="20"/>
        </w:rPr>
      </w:pPr>
    </w:p>
    <w:p w14:paraId="4620BC19" w14:textId="548EEB39" w:rsidR="00220F97" w:rsidRDefault="00CB4AC9" w:rsidP="00365A8B">
      <w:pPr>
        <w:spacing w:line="276" w:lineRule="auto"/>
        <w:rPr>
          <w:rFonts w:ascii="Arial" w:hAnsi="Arial" w:cs="Arial"/>
          <w:szCs w:val="20"/>
        </w:rPr>
      </w:pPr>
      <w:r w:rsidRPr="00B66093">
        <w:rPr>
          <w:rFonts w:ascii="Arial" w:hAnsi="Arial" w:cs="Arial"/>
          <w:szCs w:val="20"/>
        </w:rPr>
        <w:t xml:space="preserve">Finally, the CAP realizes that the policies we are advocating for cost money. However, the health of our country’s citizenry, more than anything else, impacts all facets of our nation </w:t>
      </w:r>
      <w:r w:rsidR="00220F97" w:rsidRPr="00B66093">
        <w:rPr>
          <w:rFonts w:ascii="Arial" w:hAnsi="Arial" w:cs="Arial"/>
          <w:szCs w:val="20"/>
        </w:rPr>
        <w:t>– from national security to its economic vitality</w:t>
      </w:r>
      <w:r w:rsidR="007529D2" w:rsidRPr="00B66093">
        <w:rPr>
          <w:rFonts w:ascii="Arial" w:hAnsi="Arial" w:cs="Arial"/>
          <w:szCs w:val="20"/>
        </w:rPr>
        <w:t>, requiring significant financial investments</w:t>
      </w:r>
      <w:r w:rsidR="00220F97" w:rsidRPr="00B66093">
        <w:rPr>
          <w:rFonts w:ascii="Arial" w:hAnsi="Arial" w:cs="Arial"/>
          <w:szCs w:val="20"/>
        </w:rPr>
        <w:t xml:space="preserve">. </w:t>
      </w:r>
      <w:r w:rsidRPr="00B66093">
        <w:rPr>
          <w:rFonts w:ascii="Arial" w:hAnsi="Arial" w:cs="Arial"/>
          <w:szCs w:val="20"/>
        </w:rPr>
        <w:t>Therefore</w:t>
      </w:r>
      <w:r>
        <w:rPr>
          <w:rFonts w:ascii="Arial" w:hAnsi="Arial" w:cs="Arial"/>
          <w:szCs w:val="20"/>
        </w:rPr>
        <w:t xml:space="preserve">, </w:t>
      </w:r>
    </w:p>
    <w:p w14:paraId="2F057BB6" w14:textId="1D38B7F6" w:rsidR="00A87E03" w:rsidRPr="00220F97" w:rsidRDefault="00220F97" w:rsidP="00365A8B">
      <w:pPr>
        <w:pStyle w:val="Default"/>
        <w:rPr>
          <w:rFonts w:ascii="Arial" w:eastAsia="Times New Roman" w:hAnsi="Arial" w:cs="Arial"/>
          <w:color w:val="000000" w:themeColor="text1"/>
          <w:sz w:val="20"/>
          <w:szCs w:val="20"/>
        </w:rPr>
      </w:pPr>
      <w:r w:rsidRPr="005B3CFB">
        <w:rPr>
          <w:rFonts w:ascii="Arial" w:hAnsi="Arial" w:cs="Arial"/>
          <w:color w:val="000000" w:themeColor="text1"/>
          <w:sz w:val="20"/>
          <w:szCs w:val="20"/>
        </w:rPr>
        <w:t xml:space="preserve">we encourage </w:t>
      </w:r>
      <w:r>
        <w:rPr>
          <w:rFonts w:ascii="Arial" w:hAnsi="Arial" w:cs="Arial"/>
          <w:color w:val="000000" w:themeColor="text1"/>
          <w:sz w:val="20"/>
          <w:szCs w:val="20"/>
        </w:rPr>
        <w:t>the Committee l</w:t>
      </w:r>
      <w:r w:rsidRPr="005B3CFB">
        <w:rPr>
          <w:rFonts w:ascii="Arial" w:hAnsi="Arial" w:cs="Arial"/>
          <w:color w:val="000000" w:themeColor="text1"/>
          <w:sz w:val="20"/>
          <w:szCs w:val="20"/>
        </w:rPr>
        <w:t xml:space="preserve">ook at waste and consolidation in the health care system as </w:t>
      </w:r>
      <w:r>
        <w:rPr>
          <w:rFonts w:ascii="Arial" w:hAnsi="Arial" w:cs="Arial"/>
          <w:color w:val="000000" w:themeColor="text1"/>
          <w:sz w:val="20"/>
          <w:szCs w:val="20"/>
        </w:rPr>
        <w:t>a source potential source of revenue to stabilize the payment system and grow the workforce in lieu of site neutral policies</w:t>
      </w:r>
      <w:r w:rsidRPr="005B3CFB">
        <w:rPr>
          <w:rFonts w:ascii="Arial" w:hAnsi="Arial" w:cs="Arial"/>
          <w:color w:val="000000" w:themeColor="text1"/>
          <w:sz w:val="20"/>
          <w:szCs w:val="20"/>
        </w:rPr>
        <w:t xml:space="preserve">. For example, </w:t>
      </w:r>
      <w:r w:rsidRPr="005B3CFB">
        <w:rPr>
          <w:rFonts w:ascii="Arial" w:eastAsia="Times New Roman" w:hAnsi="Arial" w:cs="Arial"/>
          <w:color w:val="000000" w:themeColor="text1"/>
          <w:sz w:val="20"/>
          <w:szCs w:val="20"/>
          <w:shd w:val="clear" w:color="auto" w:fill="FFFFFF"/>
        </w:rPr>
        <w:t xml:space="preserve">the largest source of health care spending in the U.S. is administrative, </w:t>
      </w:r>
      <w:r w:rsidRPr="005B3CFB">
        <w:rPr>
          <w:rFonts w:ascii="Arial" w:eastAsia="Times New Roman" w:hAnsi="Arial" w:cs="Arial"/>
          <w:color w:val="000000" w:themeColor="text1"/>
          <w:sz w:val="20"/>
          <w:szCs w:val="20"/>
          <w:shd w:val="clear" w:color="auto" w:fill="FFFFFF"/>
        </w:rPr>
        <w:lastRenderedPageBreak/>
        <w:t>with over $265 billion a year in waste according to some studies</w:t>
      </w:r>
      <w:r w:rsidRPr="005B3CFB">
        <w:rPr>
          <w:rStyle w:val="FootnoteReference"/>
          <w:rFonts w:ascii="Arial" w:eastAsia="Times New Roman" w:hAnsi="Arial" w:cs="Arial"/>
          <w:color w:val="000000" w:themeColor="text1"/>
          <w:sz w:val="20"/>
          <w:szCs w:val="20"/>
          <w:shd w:val="clear" w:color="auto" w:fill="FFFFFF"/>
        </w:rPr>
        <w:footnoteReference w:id="3"/>
      </w:r>
      <w:r w:rsidRPr="005B3CFB">
        <w:rPr>
          <w:rFonts w:ascii="Arial" w:eastAsia="Times New Roman" w:hAnsi="Arial" w:cs="Arial"/>
          <w:color w:val="000000" w:themeColor="text1"/>
          <w:sz w:val="20"/>
          <w:szCs w:val="20"/>
          <w:shd w:val="clear" w:color="auto" w:fill="FFFFFF"/>
        </w:rPr>
        <w:t xml:space="preserve">. </w:t>
      </w:r>
      <w:r w:rsidR="00FD3690">
        <w:rPr>
          <w:rFonts w:ascii="Arial" w:eastAsia="Times New Roman" w:hAnsi="Arial" w:cs="Arial"/>
          <w:color w:val="000000" w:themeColor="text1"/>
          <w:sz w:val="20"/>
          <w:szCs w:val="20"/>
          <w:shd w:val="clear" w:color="auto" w:fill="FFFFFF"/>
        </w:rPr>
        <w:t>On the other hand, s</w:t>
      </w:r>
      <w:r w:rsidR="00FD3690" w:rsidRPr="0071367B">
        <w:rPr>
          <w:rFonts w:ascii="Arial" w:eastAsia="Times New Roman" w:hAnsi="Arial" w:cs="Arial"/>
          <w:color w:val="000000" w:themeColor="text1"/>
          <w:sz w:val="20"/>
          <w:szCs w:val="20"/>
          <w:shd w:val="clear" w:color="auto" w:fill="FFFFFF"/>
        </w:rPr>
        <w:t xml:space="preserve">ite </w:t>
      </w:r>
      <w:r w:rsidR="00A87E03" w:rsidRPr="0071367B">
        <w:rPr>
          <w:rFonts w:ascii="Arial" w:hAnsi="Arial" w:cs="Arial"/>
          <w:sz w:val="20"/>
          <w:szCs w:val="20"/>
        </w:rPr>
        <w:t xml:space="preserve">neutral payment proposals fail to take into consideration the technical costs associated with specific individual codes and fail to recognize the distinct costs of physician services. Arbitrarily accepting hospital outpatient rates instead of the carefully reviewed inputs is a step backwards. The CMS has stated that comparisons between the physician fee schedule (PFS) and the out-patient prospective payment system (OPPS) payments for services are inappropriate because of the different nature of the cost inputs and has explicitly refused to impose one payment system on the other. </w:t>
      </w:r>
    </w:p>
    <w:p w14:paraId="0067B064" w14:textId="77777777" w:rsidR="00A87E03" w:rsidRDefault="00A87E03" w:rsidP="00365A8B">
      <w:pPr>
        <w:spacing w:line="276" w:lineRule="auto"/>
        <w:rPr>
          <w:rFonts w:ascii="Arial" w:hAnsi="Arial" w:cs="Arial"/>
          <w:szCs w:val="20"/>
        </w:rPr>
      </w:pPr>
    </w:p>
    <w:p w14:paraId="24E69371" w14:textId="263F881B" w:rsidR="00A87E03" w:rsidRDefault="00A87E03" w:rsidP="00365A8B">
      <w:pPr>
        <w:spacing w:line="276" w:lineRule="auto"/>
        <w:rPr>
          <w:rFonts w:ascii="Arial" w:hAnsi="Arial" w:cs="Arial"/>
          <w:szCs w:val="20"/>
        </w:rPr>
      </w:pPr>
      <w:r w:rsidRPr="00F36D83">
        <w:rPr>
          <w:rFonts w:ascii="Arial" w:hAnsi="Arial" w:cs="Arial"/>
          <w:szCs w:val="20"/>
        </w:rPr>
        <w:t>OPPS data is hospital data and does not reflect the actual resource costs of physicians in their offices or laboratories. It reflects the average costs of “buckets” of services rather than resource costs for individual services performed by physicians. The monies are then distributed by case-mix. Complete accuracy of this data is practically impossible.</w:t>
      </w:r>
      <w:r w:rsidR="00365A8B">
        <w:rPr>
          <w:rFonts w:ascii="Arial" w:hAnsi="Arial" w:cs="Arial"/>
          <w:szCs w:val="20"/>
        </w:rPr>
        <w:t xml:space="preserve"> </w:t>
      </w:r>
      <w:r w:rsidRPr="00F36D83">
        <w:rPr>
          <w:rFonts w:ascii="Arial" w:hAnsi="Arial" w:cs="Arial"/>
          <w:szCs w:val="20"/>
        </w:rPr>
        <w:t>OPPS rate setting allows for meaningful comparison of resource-intensiveness and costs of services within the OPPS system. But the methodology is not designed to allow for comparisons to services outside the OPPS.</w:t>
      </w:r>
      <w:r>
        <w:rPr>
          <w:rFonts w:ascii="Arial" w:hAnsi="Arial" w:cs="Arial"/>
          <w:szCs w:val="20"/>
        </w:rPr>
        <w:t xml:space="preserve"> </w:t>
      </w:r>
      <w:r w:rsidRPr="00F36D83">
        <w:rPr>
          <w:rFonts w:ascii="Arial" w:hAnsi="Arial" w:cs="Arial"/>
          <w:szCs w:val="20"/>
        </w:rPr>
        <w:t xml:space="preserve">Current law requires physician services to be resource-based and </w:t>
      </w:r>
      <w:r>
        <w:rPr>
          <w:rFonts w:ascii="Arial" w:hAnsi="Arial" w:cs="Arial"/>
          <w:szCs w:val="20"/>
        </w:rPr>
        <w:t>ambulatory payment classifications</w:t>
      </w:r>
      <w:r w:rsidRPr="00F36D83">
        <w:rPr>
          <w:rFonts w:ascii="Arial" w:hAnsi="Arial" w:cs="Arial"/>
          <w:szCs w:val="20"/>
        </w:rPr>
        <w:t xml:space="preserve"> are not resource-based.</w:t>
      </w:r>
      <w:r>
        <w:rPr>
          <w:rFonts w:ascii="Arial" w:hAnsi="Arial" w:cs="Arial"/>
          <w:szCs w:val="20"/>
        </w:rPr>
        <w:t xml:space="preserve"> In short, s</w:t>
      </w:r>
      <w:r w:rsidRPr="00F36D83">
        <w:rPr>
          <w:rFonts w:ascii="Arial" w:hAnsi="Arial" w:cs="Arial"/>
          <w:szCs w:val="20"/>
        </w:rPr>
        <w:t>ite-neutral proposals could result in billions</w:t>
      </w:r>
      <w:r>
        <w:rPr>
          <w:rFonts w:ascii="Arial" w:hAnsi="Arial" w:cs="Arial"/>
          <w:szCs w:val="20"/>
        </w:rPr>
        <w:t xml:space="preserve"> of dollars </w:t>
      </w:r>
      <w:r w:rsidRPr="00F36D83">
        <w:rPr>
          <w:rFonts w:ascii="Arial" w:hAnsi="Arial" w:cs="Arial"/>
          <w:szCs w:val="20"/>
        </w:rPr>
        <w:t>being shifted between sites of service,</w:t>
      </w:r>
      <w:r>
        <w:rPr>
          <w:rFonts w:ascii="Arial" w:hAnsi="Arial" w:cs="Arial"/>
          <w:szCs w:val="20"/>
        </w:rPr>
        <w:t xml:space="preserve"> and potentially out of the health care system,</w:t>
      </w:r>
      <w:r w:rsidRPr="00F36D83">
        <w:rPr>
          <w:rFonts w:ascii="Arial" w:hAnsi="Arial" w:cs="Arial"/>
          <w:szCs w:val="20"/>
        </w:rPr>
        <w:t xml:space="preserve"> resulting in major disruption</w:t>
      </w:r>
      <w:r>
        <w:rPr>
          <w:rFonts w:ascii="Arial" w:hAnsi="Arial" w:cs="Arial"/>
          <w:szCs w:val="20"/>
        </w:rPr>
        <w:t>s</w:t>
      </w:r>
      <w:r w:rsidRPr="00F36D83">
        <w:rPr>
          <w:rFonts w:ascii="Arial" w:hAnsi="Arial" w:cs="Arial"/>
          <w:szCs w:val="20"/>
        </w:rPr>
        <w:t xml:space="preserve"> in health care revenue</w:t>
      </w:r>
      <w:r>
        <w:rPr>
          <w:rFonts w:ascii="Arial" w:hAnsi="Arial" w:cs="Arial"/>
          <w:szCs w:val="20"/>
        </w:rPr>
        <w:t xml:space="preserve"> at a time when consolidation is on the rise and practices in rural and underserved areas are struggling or closing</w:t>
      </w:r>
      <w:r w:rsidRPr="00F36D83">
        <w:rPr>
          <w:rFonts w:ascii="Arial" w:hAnsi="Arial" w:cs="Arial"/>
          <w:szCs w:val="20"/>
        </w:rPr>
        <w:t>.</w:t>
      </w:r>
    </w:p>
    <w:p w14:paraId="3CB328D9" w14:textId="77777777" w:rsidR="00A87E03" w:rsidRDefault="00A87E03" w:rsidP="00365A8B">
      <w:pPr>
        <w:spacing w:line="276" w:lineRule="auto"/>
        <w:rPr>
          <w:rFonts w:ascii="Arial" w:hAnsi="Arial" w:cs="Arial"/>
          <w:szCs w:val="20"/>
        </w:rPr>
      </w:pPr>
    </w:p>
    <w:p w14:paraId="4032EA0B" w14:textId="0B205781" w:rsidR="00A87E03" w:rsidRDefault="00A87E03" w:rsidP="00365A8B">
      <w:pPr>
        <w:spacing w:line="276" w:lineRule="auto"/>
        <w:rPr>
          <w:rFonts w:ascii="Arial" w:hAnsi="Arial" w:cs="Arial"/>
          <w:szCs w:val="20"/>
        </w:rPr>
      </w:pPr>
      <w:r>
        <w:rPr>
          <w:rFonts w:ascii="Arial" w:hAnsi="Arial" w:cs="Arial"/>
          <w:szCs w:val="20"/>
        </w:rPr>
        <w:t xml:space="preserve">In closing, the CAP appreciates the </w:t>
      </w:r>
      <w:r w:rsidR="007529D2">
        <w:rPr>
          <w:rFonts w:ascii="Arial" w:hAnsi="Arial" w:cs="Arial"/>
          <w:szCs w:val="20"/>
        </w:rPr>
        <w:t>opportunity to provide these comments for the record.</w:t>
      </w:r>
      <w:r>
        <w:rPr>
          <w:rFonts w:ascii="Arial" w:hAnsi="Arial" w:cs="Arial"/>
          <w:szCs w:val="20"/>
        </w:rPr>
        <w:t xml:space="preserve"> </w:t>
      </w:r>
      <w:r w:rsidRPr="008E5A8D">
        <w:rPr>
          <w:rFonts w:ascii="Arial" w:hAnsi="Arial" w:cs="Arial"/>
          <w:szCs w:val="20"/>
        </w:rPr>
        <w:t xml:space="preserve">Please contact Darren Fenwick at dfenwic@cap.org </w:t>
      </w:r>
      <w:r w:rsidR="006A51A5">
        <w:rPr>
          <w:rFonts w:ascii="Arial" w:hAnsi="Arial" w:cs="Arial"/>
          <w:szCs w:val="20"/>
        </w:rPr>
        <w:t>or</w:t>
      </w:r>
      <w:r w:rsidRPr="008E5A8D">
        <w:rPr>
          <w:rFonts w:ascii="Arial" w:hAnsi="Arial" w:cs="Arial"/>
          <w:szCs w:val="20"/>
        </w:rPr>
        <w:t xml:space="preserve"> 202-354-7135 if you have any questions regarding these comments.</w:t>
      </w:r>
    </w:p>
    <w:p w14:paraId="7C498055" w14:textId="77777777" w:rsidR="00A87E03" w:rsidRDefault="00A87E03" w:rsidP="00365A8B">
      <w:pPr>
        <w:spacing w:line="276" w:lineRule="auto"/>
        <w:rPr>
          <w:rFonts w:ascii="Arial" w:hAnsi="Arial" w:cs="Arial"/>
          <w:szCs w:val="20"/>
        </w:rPr>
      </w:pPr>
    </w:p>
    <w:p w14:paraId="2ACD4301" w14:textId="77777777" w:rsidR="00A87E03" w:rsidRDefault="00A87E03" w:rsidP="00365A8B">
      <w:pPr>
        <w:spacing w:line="276" w:lineRule="auto"/>
        <w:rPr>
          <w:rFonts w:ascii="Arial" w:hAnsi="Arial" w:cs="Arial"/>
          <w:szCs w:val="20"/>
        </w:rPr>
      </w:pPr>
      <w:r w:rsidRPr="008E5A8D">
        <w:rPr>
          <w:rFonts w:ascii="Arial" w:hAnsi="Arial" w:cs="Arial"/>
          <w:szCs w:val="20"/>
        </w:rPr>
        <w:t xml:space="preserve">Sincerely, </w:t>
      </w:r>
    </w:p>
    <w:p w14:paraId="05164CE0" w14:textId="77777777" w:rsidR="00B76976" w:rsidRPr="008E5A8D" w:rsidRDefault="00B76976" w:rsidP="00365A8B">
      <w:pPr>
        <w:spacing w:line="276" w:lineRule="auto"/>
        <w:rPr>
          <w:rFonts w:ascii="Arial" w:hAnsi="Arial" w:cs="Arial"/>
          <w:szCs w:val="20"/>
        </w:rPr>
      </w:pPr>
    </w:p>
    <w:p w14:paraId="0CAC1E9D" w14:textId="421F2E39" w:rsidR="00B76976" w:rsidRDefault="00B76976" w:rsidP="00365A8B">
      <w:pPr>
        <w:spacing w:line="276" w:lineRule="auto"/>
        <w:rPr>
          <w:rFonts w:ascii="Arial" w:hAnsi="Arial" w:cs="Arial"/>
          <w:szCs w:val="20"/>
        </w:rPr>
      </w:pPr>
      <w:r>
        <w:rPr>
          <w:rFonts w:ascii="Arial" w:hAnsi="Arial" w:cs="Arial"/>
          <w:szCs w:val="20"/>
        </w:rPr>
        <w:tab/>
        <w:t>/S/</w:t>
      </w:r>
    </w:p>
    <w:p w14:paraId="7A7D7076" w14:textId="100A8D11" w:rsidR="00A87E03" w:rsidRPr="008E5A8D" w:rsidRDefault="00220F97" w:rsidP="00365A8B">
      <w:pPr>
        <w:spacing w:line="276" w:lineRule="auto"/>
        <w:rPr>
          <w:rFonts w:ascii="Arial" w:hAnsi="Arial" w:cs="Arial"/>
          <w:szCs w:val="20"/>
        </w:rPr>
      </w:pPr>
      <w:r>
        <w:rPr>
          <w:rFonts w:ascii="Arial" w:hAnsi="Arial" w:cs="Arial"/>
          <w:szCs w:val="20"/>
        </w:rPr>
        <w:t>Donald</w:t>
      </w:r>
      <w:r w:rsidR="006A51A5">
        <w:rPr>
          <w:rFonts w:ascii="Arial" w:hAnsi="Arial" w:cs="Arial"/>
          <w:szCs w:val="20"/>
        </w:rPr>
        <w:t xml:space="preserve"> S.</w:t>
      </w:r>
      <w:r>
        <w:rPr>
          <w:rFonts w:ascii="Arial" w:hAnsi="Arial" w:cs="Arial"/>
          <w:szCs w:val="20"/>
        </w:rPr>
        <w:t xml:space="preserve"> Karcher</w:t>
      </w:r>
      <w:r w:rsidR="00A87E03" w:rsidRPr="008E5A8D">
        <w:rPr>
          <w:rFonts w:ascii="Arial" w:hAnsi="Arial" w:cs="Arial"/>
          <w:szCs w:val="20"/>
        </w:rPr>
        <w:t>, MD, FCAP</w:t>
      </w:r>
    </w:p>
    <w:p w14:paraId="395068D0" w14:textId="77777777" w:rsidR="00A87E03" w:rsidRPr="009D1488" w:rsidRDefault="00A87E03" w:rsidP="00365A8B">
      <w:pPr>
        <w:spacing w:line="276" w:lineRule="auto"/>
        <w:rPr>
          <w:rFonts w:ascii="Arial" w:hAnsi="Arial" w:cs="Arial"/>
          <w:szCs w:val="20"/>
        </w:rPr>
      </w:pPr>
      <w:r w:rsidRPr="008E5A8D">
        <w:rPr>
          <w:rFonts w:ascii="Arial" w:hAnsi="Arial" w:cs="Arial"/>
          <w:szCs w:val="20"/>
        </w:rPr>
        <w:t>President</w:t>
      </w:r>
    </w:p>
    <w:p w14:paraId="47D5C5B0" w14:textId="77777777" w:rsidR="005B3CFB" w:rsidRPr="005B3CFB" w:rsidRDefault="005B3CFB" w:rsidP="00365A8B">
      <w:pPr>
        <w:spacing w:line="276" w:lineRule="auto"/>
        <w:rPr>
          <w:rFonts w:ascii="Arial" w:hAnsi="Arial" w:cs="Arial"/>
          <w:color w:val="000000" w:themeColor="text1"/>
          <w:szCs w:val="20"/>
        </w:rPr>
      </w:pPr>
    </w:p>
    <w:sectPr w:rsidR="005B3CFB" w:rsidRPr="005B3CFB" w:rsidSect="00AA7D8E">
      <w:type w:val="continuous"/>
      <w:pgSz w:w="12240" w:h="15840"/>
      <w:pgMar w:top="2520" w:right="1656" w:bottom="1620" w:left="1656" w:header="9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F0D8" w14:textId="77777777" w:rsidR="00AA7D8E" w:rsidRDefault="00AA7D8E" w:rsidP="00C4586D">
      <w:r>
        <w:separator/>
      </w:r>
    </w:p>
  </w:endnote>
  <w:endnote w:type="continuationSeparator" w:id="0">
    <w:p w14:paraId="7AB627D5" w14:textId="77777777" w:rsidR="00AA7D8E" w:rsidRDefault="00AA7D8E" w:rsidP="00C4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kkuratLightPro-Regular">
    <w:altName w:val="Akkurat Light Pro Regular"/>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930516"/>
      <w:docPartObj>
        <w:docPartGallery w:val="Page Numbers (Bottom of Page)"/>
        <w:docPartUnique/>
      </w:docPartObj>
    </w:sdtPr>
    <w:sdtEndPr/>
    <w:sdtContent>
      <w:p w14:paraId="2F2E87E2" w14:textId="77777777" w:rsidR="00506AAD" w:rsidRDefault="00506AAD">
        <w:pPr>
          <w:pStyle w:val="Footer"/>
          <w:jc w:val="right"/>
        </w:pPr>
        <w:r>
          <w:fldChar w:fldCharType="begin"/>
        </w:r>
        <w:r>
          <w:instrText xml:space="preserve"> PAGE   \* MERGEFORMAT </w:instrText>
        </w:r>
        <w:r>
          <w:fldChar w:fldCharType="separate"/>
        </w:r>
        <w:r w:rsidR="00396F95">
          <w:rPr>
            <w:noProof/>
          </w:rPr>
          <w:t>12</w:t>
        </w:r>
        <w:r>
          <w:rPr>
            <w:noProof/>
          </w:rPr>
          <w:fldChar w:fldCharType="end"/>
        </w:r>
      </w:p>
      <w:tbl>
        <w:tblPr>
          <w:tblpPr w:leftFromText="180" w:rightFromText="180" w:vertAnchor="page" w:horzAnchor="page" w:tblpX="2710" w:tblpY="14765"/>
          <w:tblW w:w="2902" w:type="dxa"/>
          <w:tblLook w:val="04A0" w:firstRow="1" w:lastRow="0" w:firstColumn="1" w:lastColumn="0" w:noHBand="0" w:noVBand="1"/>
        </w:tblPr>
        <w:tblGrid>
          <w:gridCol w:w="2902"/>
        </w:tblGrid>
        <w:tr w:rsidR="00506AAD" w:rsidRPr="000476CE" w14:paraId="49617084" w14:textId="77777777" w:rsidTr="006945C1">
          <w:trPr>
            <w:trHeight w:val="850"/>
          </w:trPr>
          <w:tc>
            <w:tcPr>
              <w:tcW w:w="2902" w:type="dxa"/>
              <w:shd w:val="clear" w:color="auto" w:fill="auto"/>
            </w:tcPr>
            <w:p w14:paraId="271FC185" w14:textId="55992BC8" w:rsidR="00506AAD" w:rsidRDefault="00365A8B" w:rsidP="006945C1">
              <w:pPr>
                <w:pStyle w:val="BasicParagraph"/>
                <w:suppressAutoHyphens/>
                <w:rPr>
                  <w:rFonts w:ascii="Arial" w:hAnsi="Arial" w:cs="AkkuratLightPro-Regular"/>
                  <w:color w:val="808080"/>
                  <w:spacing w:val="-1"/>
                  <w:sz w:val="15"/>
                  <w:szCs w:val="15"/>
                </w:rPr>
              </w:pPr>
              <w:r>
                <w:rPr>
                  <w:rFonts w:ascii="Arial" w:hAnsi="Arial" w:cs="AkkuratLightPro-Regular"/>
                  <w:color w:val="808080"/>
                  <w:spacing w:val="-1"/>
                  <w:sz w:val="15"/>
                  <w:szCs w:val="15"/>
                </w:rPr>
                <w:t xml:space="preserve">      </w:t>
              </w:r>
              <w:r w:rsidR="00506AAD">
                <w:rPr>
                  <w:rFonts w:ascii="Arial" w:hAnsi="Arial" w:cs="AkkuratLightPro-Regular"/>
                  <w:color w:val="808080"/>
                  <w:spacing w:val="-1"/>
                  <w:sz w:val="15"/>
                  <w:szCs w:val="15"/>
                </w:rPr>
                <w:t xml:space="preserve"> 1001 G Street, NW</w:t>
              </w:r>
            </w:p>
            <w:p w14:paraId="084FCBAF" w14:textId="4271169D" w:rsidR="00506AAD" w:rsidRPr="000476CE" w:rsidRDefault="00365A8B" w:rsidP="006945C1">
              <w:pPr>
                <w:pStyle w:val="BasicParagraph"/>
                <w:suppressAutoHyphens/>
                <w:rPr>
                  <w:rFonts w:ascii="Arial" w:hAnsi="Arial" w:cs="AkkuratLightPro-Regular"/>
                  <w:color w:val="808080"/>
                  <w:spacing w:val="-1"/>
                  <w:sz w:val="15"/>
                  <w:szCs w:val="15"/>
                </w:rPr>
              </w:pPr>
              <w:r>
                <w:rPr>
                  <w:rFonts w:ascii="Arial" w:hAnsi="Arial" w:cs="AkkuratLightPro-Regular"/>
                  <w:color w:val="808080"/>
                  <w:spacing w:val="-1"/>
                  <w:sz w:val="15"/>
                  <w:szCs w:val="15"/>
                </w:rPr>
                <w:t xml:space="preserve">      </w:t>
              </w:r>
              <w:r w:rsidR="00506AAD">
                <w:rPr>
                  <w:rFonts w:ascii="Arial" w:hAnsi="Arial" w:cs="AkkuratLightPro-Regular"/>
                  <w:color w:val="808080"/>
                  <w:spacing w:val="-1"/>
                  <w:sz w:val="15"/>
                  <w:szCs w:val="15"/>
                </w:rPr>
                <w:t xml:space="preserve"> Suite 425 West</w:t>
              </w:r>
            </w:p>
            <w:p w14:paraId="7845AD2C" w14:textId="4B1791C4" w:rsidR="00506AAD" w:rsidRPr="000476CE" w:rsidRDefault="00365A8B" w:rsidP="006945C1">
              <w:pPr>
                <w:pStyle w:val="Footer"/>
                <w:spacing w:line="288" w:lineRule="auto"/>
                <w:ind w:right="-293"/>
                <w:rPr>
                  <w:rFonts w:cs="AkkuratLightPro-Regular"/>
                  <w:color w:val="808080"/>
                  <w:spacing w:val="-1"/>
                  <w:sz w:val="15"/>
                  <w:szCs w:val="15"/>
                </w:rPr>
              </w:pPr>
              <w:r>
                <w:rPr>
                  <w:rFonts w:cs="AkkuratLightPro-Regular"/>
                  <w:color w:val="808080"/>
                  <w:spacing w:val="-1"/>
                  <w:sz w:val="15"/>
                  <w:szCs w:val="15"/>
                </w:rPr>
                <w:t xml:space="preserve">      </w:t>
              </w:r>
              <w:r w:rsidR="00506AAD">
                <w:rPr>
                  <w:rFonts w:cs="AkkuratLightPro-Regular"/>
                  <w:color w:val="808080"/>
                  <w:spacing w:val="-1"/>
                  <w:sz w:val="15"/>
                  <w:szCs w:val="15"/>
                </w:rPr>
                <w:t xml:space="preserve"> Washington</w:t>
              </w:r>
              <w:r w:rsidR="00506AAD" w:rsidRPr="000476CE">
                <w:rPr>
                  <w:rFonts w:cs="AkkuratLightPro-Regular"/>
                  <w:color w:val="808080"/>
                  <w:spacing w:val="-1"/>
                  <w:sz w:val="15"/>
                  <w:szCs w:val="15"/>
                </w:rPr>
                <w:t xml:space="preserve">, </w:t>
              </w:r>
              <w:r w:rsidR="00506AAD">
                <w:rPr>
                  <w:rFonts w:cs="AkkuratLightPro-Regular"/>
                  <w:color w:val="808080"/>
                  <w:spacing w:val="-1"/>
                  <w:sz w:val="15"/>
                  <w:szCs w:val="15"/>
                </w:rPr>
                <w:t>DC</w:t>
              </w:r>
              <w:r w:rsidR="00506AAD" w:rsidRPr="000476CE">
                <w:rPr>
                  <w:rFonts w:cs="AkkuratLightPro-Regular"/>
                  <w:color w:val="808080"/>
                  <w:spacing w:val="-1"/>
                  <w:sz w:val="15"/>
                  <w:szCs w:val="15"/>
                </w:rPr>
                <w:t xml:space="preserve"> </w:t>
              </w:r>
              <w:r w:rsidR="00506AAD">
                <w:rPr>
                  <w:rFonts w:cs="AkkuratLightPro-Regular"/>
                  <w:color w:val="808080"/>
                  <w:spacing w:val="-1"/>
                  <w:sz w:val="15"/>
                  <w:szCs w:val="15"/>
                </w:rPr>
                <w:t>20001</w:t>
              </w:r>
              <w:r w:rsidR="00506AAD" w:rsidRPr="000476CE">
                <w:rPr>
                  <w:rFonts w:cs="AkkuratLightPro-Regular"/>
                  <w:color w:val="808080"/>
                  <w:spacing w:val="-1"/>
                  <w:sz w:val="15"/>
                  <w:szCs w:val="15"/>
                </w:rPr>
                <w:br/>
              </w:r>
              <w:r>
                <w:rPr>
                  <w:rFonts w:cs="AkkuratLightPro-Regular"/>
                  <w:color w:val="808080"/>
                  <w:spacing w:val="-1"/>
                  <w:sz w:val="15"/>
                  <w:szCs w:val="15"/>
                </w:rPr>
                <w:t xml:space="preserve">      </w:t>
              </w:r>
              <w:r w:rsidR="00506AAD">
                <w:rPr>
                  <w:rFonts w:cs="AkkuratLightPro-Regular"/>
                  <w:color w:val="808080"/>
                  <w:spacing w:val="-1"/>
                  <w:sz w:val="15"/>
                  <w:szCs w:val="15"/>
                </w:rPr>
                <w:t xml:space="preserve"> 800-392-9994 | </w:t>
              </w:r>
              <w:r w:rsidR="00506AAD" w:rsidRPr="000476CE">
                <w:rPr>
                  <w:rFonts w:cs="AkkuratLightPro-Regular"/>
                  <w:color w:val="808080"/>
                  <w:spacing w:val="-1"/>
                  <w:sz w:val="15"/>
                  <w:szCs w:val="15"/>
                </w:rPr>
                <w:t>cap.org</w:t>
              </w:r>
            </w:p>
            <w:p w14:paraId="24115E75" w14:textId="77777777" w:rsidR="00506AAD" w:rsidRPr="000476CE" w:rsidRDefault="00506AAD" w:rsidP="006945C1">
              <w:pPr>
                <w:pStyle w:val="Footer"/>
                <w:rPr>
                  <w:color w:val="262626"/>
                  <w:sz w:val="15"/>
                  <w:szCs w:val="15"/>
                </w:rPr>
              </w:pPr>
            </w:p>
          </w:tc>
        </w:tr>
      </w:tbl>
      <w:p w14:paraId="3A2652C4" w14:textId="77777777" w:rsidR="00506AAD" w:rsidRDefault="00506AAD" w:rsidP="006945C1">
        <w:pPr>
          <w:pStyle w:val="Footer"/>
          <w:ind w:left="6120"/>
        </w:pPr>
        <w:r>
          <w:rPr>
            <w:noProof/>
          </w:rPr>
          <mc:AlternateContent>
            <mc:Choice Requires="wps">
              <w:drawing>
                <wp:anchor distT="4294967292" distB="4294967292" distL="114300" distR="114300" simplePos="0" relativeHeight="251658240" behindDoc="0" locked="0" layoutInCell="1" allowOverlap="1" wp14:anchorId="5D1235EF" wp14:editId="1EAC00F2">
                  <wp:simplePos x="0" y="0"/>
                  <wp:positionH relativeFrom="column">
                    <wp:posOffset>714375</wp:posOffset>
                  </wp:positionH>
                  <wp:positionV relativeFrom="paragraph">
                    <wp:posOffset>-184786</wp:posOffset>
                  </wp:positionV>
                  <wp:extent cx="49149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0"/>
                          </a:xfrm>
                          <a:prstGeom prst="line">
                            <a:avLst/>
                          </a:prstGeom>
                          <a:noFill/>
                          <a:ln w="6350"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7B5C622" id="Straight Connector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25pt,-14.55pt" to="443.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" strokecolor="#7f7f7f" strokeweight=".5pt">
                  <o:lock v:ext="edit" shapetype="f"/>
                </v:line>
              </w:pict>
            </mc:Fallback>
          </mc:AlternateContent>
        </w:r>
      </w:p>
    </w:sdtContent>
  </w:sdt>
  <w:p w14:paraId="6B4208BC" w14:textId="77777777" w:rsidR="00506AAD" w:rsidRDefault="00506AAD" w:rsidP="000D1487">
    <w:pPr>
      <w:pStyle w:val="Footer"/>
      <w:ind w:left="6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DE63" w14:textId="77777777" w:rsidR="00AA7D8E" w:rsidRDefault="00AA7D8E" w:rsidP="00C4586D">
      <w:r>
        <w:separator/>
      </w:r>
    </w:p>
  </w:footnote>
  <w:footnote w:type="continuationSeparator" w:id="0">
    <w:p w14:paraId="4F9AFF4A" w14:textId="77777777" w:rsidR="00AA7D8E" w:rsidRDefault="00AA7D8E" w:rsidP="00C4586D">
      <w:r>
        <w:continuationSeparator/>
      </w:r>
    </w:p>
  </w:footnote>
  <w:footnote w:id="1">
    <w:p w14:paraId="0DE24B35" w14:textId="77777777" w:rsidR="00A87E03" w:rsidRPr="003E39B4" w:rsidRDefault="00A87E03" w:rsidP="00A87E03">
      <w:pPr>
        <w:pStyle w:val="FootnoteText"/>
        <w:rPr>
          <w:rFonts w:ascii="Arial" w:hAnsi="Arial" w:cs="Arial"/>
          <w:sz w:val="16"/>
          <w:szCs w:val="16"/>
        </w:rPr>
      </w:pPr>
      <w:r w:rsidRPr="00A51B67">
        <w:rPr>
          <w:rStyle w:val="FootnoteReference"/>
          <w:rFonts w:ascii="Arial" w:hAnsi="Arial" w:cs="Arial"/>
          <w:sz w:val="16"/>
          <w:szCs w:val="16"/>
        </w:rPr>
        <w:footnoteRef/>
      </w:r>
      <w:r w:rsidRPr="00A51B67">
        <w:rPr>
          <w:rFonts w:ascii="Arial" w:hAnsi="Arial" w:cs="Arial"/>
          <w:sz w:val="16"/>
          <w:szCs w:val="16"/>
        </w:rPr>
        <w:t xml:space="preserve"> </w:t>
      </w:r>
      <w:r w:rsidRPr="00A51B67">
        <w:rPr>
          <w:rFonts w:ascii="Arial" w:hAnsi="Arial" w:cs="Arial"/>
          <w:sz w:val="16"/>
          <w:szCs w:val="16"/>
          <w:shd w:val="clear" w:color="auto" w:fill="FFFFFF"/>
        </w:rPr>
        <w:t>Khullar D, Bond AM, O’Donnell EM, Qian Y, Gans DN, Casalino LP. Time and Financial Costs for Physician Practices to Participate in the Medicare Merit-based Incentive Payment System: A Qualitative Study. </w:t>
      </w:r>
      <w:r w:rsidRPr="00A51B67">
        <w:rPr>
          <w:rFonts w:ascii="Arial" w:hAnsi="Arial" w:cs="Arial"/>
          <w:i/>
          <w:iCs/>
          <w:sz w:val="16"/>
          <w:szCs w:val="16"/>
          <w:shd w:val="clear" w:color="auto" w:fill="FFFFFF"/>
        </w:rPr>
        <w:t>JAMA Health Forum.</w:t>
      </w:r>
      <w:r w:rsidRPr="00A51B67">
        <w:rPr>
          <w:rFonts w:ascii="Arial" w:hAnsi="Arial" w:cs="Arial"/>
          <w:sz w:val="16"/>
          <w:szCs w:val="16"/>
          <w:shd w:val="clear" w:color="auto" w:fill="FFFFFF"/>
        </w:rPr>
        <w:t> 2021;2(5</w:t>
      </w:r>
      <w:proofErr w:type="gramStart"/>
      <w:r w:rsidRPr="00A51B67">
        <w:rPr>
          <w:rFonts w:ascii="Arial" w:hAnsi="Arial" w:cs="Arial"/>
          <w:sz w:val="16"/>
          <w:szCs w:val="16"/>
          <w:shd w:val="clear" w:color="auto" w:fill="FFFFFF"/>
        </w:rPr>
        <w:t>):e</w:t>
      </w:r>
      <w:proofErr w:type="gramEnd"/>
      <w:r w:rsidRPr="00A51B67">
        <w:rPr>
          <w:rFonts w:ascii="Arial" w:hAnsi="Arial" w:cs="Arial"/>
          <w:sz w:val="16"/>
          <w:szCs w:val="16"/>
          <w:shd w:val="clear" w:color="auto" w:fill="FFFFFF"/>
        </w:rPr>
        <w:t>210527. </w:t>
      </w:r>
    </w:p>
  </w:footnote>
  <w:footnote w:id="2">
    <w:p w14:paraId="3D6BD8A4" w14:textId="77777777" w:rsidR="00A87E03" w:rsidRPr="00B539C5" w:rsidRDefault="00A87E03" w:rsidP="00A87E03">
      <w:pPr>
        <w:pStyle w:val="FootnoteText"/>
        <w:rPr>
          <w:rFonts w:ascii="Arial" w:hAnsi="Arial" w:cs="Arial"/>
          <w:sz w:val="16"/>
          <w:szCs w:val="16"/>
        </w:rPr>
      </w:pPr>
      <w:r w:rsidRPr="00B539C5">
        <w:rPr>
          <w:rStyle w:val="FootnoteReference"/>
          <w:rFonts w:ascii="Arial" w:hAnsi="Arial" w:cs="Arial"/>
          <w:sz w:val="16"/>
          <w:szCs w:val="16"/>
        </w:rPr>
        <w:footnoteRef/>
      </w:r>
      <w:r w:rsidRPr="00B539C5">
        <w:rPr>
          <w:rFonts w:ascii="Arial" w:hAnsi="Arial" w:cs="Arial"/>
          <w:sz w:val="16"/>
          <w:szCs w:val="16"/>
        </w:rPr>
        <w:t xml:space="preserve"> Medicare Payment Advisory Commission. 2022. March 2022 Report to the Congress: Medicare Payment Policy; Ch 4. Washington, DC: MedPAC</w:t>
      </w:r>
    </w:p>
  </w:footnote>
  <w:footnote w:id="3">
    <w:p w14:paraId="4BF5C56D" w14:textId="77777777" w:rsidR="00220F97" w:rsidRDefault="00220F97" w:rsidP="00220F97">
      <w:pPr>
        <w:pStyle w:val="FootnoteText"/>
      </w:pPr>
      <w:r w:rsidRPr="004E7452">
        <w:rPr>
          <w:rStyle w:val="FootnoteReference"/>
          <w:rFonts w:ascii="Arial" w:hAnsi="Arial" w:cs="Arial"/>
          <w:sz w:val="16"/>
          <w:szCs w:val="16"/>
        </w:rPr>
        <w:footnoteRef/>
      </w:r>
      <w:r w:rsidRPr="004E7452">
        <w:rPr>
          <w:rFonts w:ascii="Arial" w:hAnsi="Arial" w:cs="Arial"/>
          <w:sz w:val="16"/>
          <w:szCs w:val="16"/>
        </w:rPr>
        <w:t xml:space="preserve"> T</w:t>
      </w:r>
      <w:r w:rsidRPr="004E7452">
        <w:rPr>
          <w:rStyle w:val="do-cited-title"/>
          <w:rFonts w:ascii="Arial" w:hAnsi="Arial" w:cs="Arial"/>
          <w:sz w:val="16"/>
          <w:szCs w:val="16"/>
        </w:rPr>
        <w:t xml:space="preserve">he Role of Administrative Waste </w:t>
      </w:r>
      <w:proofErr w:type="gramStart"/>
      <w:r w:rsidRPr="004E7452">
        <w:rPr>
          <w:rStyle w:val="do-cited-title"/>
          <w:rFonts w:ascii="Arial" w:hAnsi="Arial" w:cs="Arial"/>
          <w:sz w:val="16"/>
          <w:szCs w:val="16"/>
        </w:rPr>
        <w:t>In</w:t>
      </w:r>
      <w:proofErr w:type="gramEnd"/>
      <w:r w:rsidRPr="004E7452">
        <w:rPr>
          <w:rStyle w:val="do-cited-title"/>
          <w:rFonts w:ascii="Arial" w:hAnsi="Arial" w:cs="Arial"/>
          <w:sz w:val="16"/>
          <w:szCs w:val="16"/>
        </w:rPr>
        <w:t xml:space="preserve"> Excess US Health Spending,</w:t>
      </w:r>
      <w:r w:rsidRPr="004E7452">
        <w:rPr>
          <w:rFonts w:ascii="Arial" w:hAnsi="Arial" w:cs="Arial"/>
          <w:sz w:val="16"/>
          <w:szCs w:val="16"/>
        </w:rPr>
        <w:t> </w:t>
      </w:r>
      <w:r w:rsidRPr="004E7452">
        <w:rPr>
          <w:rStyle w:val="do-cited-title"/>
          <w:rFonts w:ascii="Arial" w:hAnsi="Arial" w:cs="Arial"/>
          <w:sz w:val="16"/>
          <w:szCs w:val="16"/>
        </w:rPr>
        <w:t>" Health Affairs</w:t>
      </w:r>
      <w:r w:rsidRPr="004E7452">
        <w:rPr>
          <w:rFonts w:ascii="Arial" w:hAnsi="Arial" w:cs="Arial"/>
          <w:sz w:val="16"/>
          <w:szCs w:val="16"/>
        </w:rPr>
        <w:t> </w:t>
      </w:r>
      <w:r w:rsidRPr="004E7452">
        <w:rPr>
          <w:rStyle w:val="do-cited-title"/>
          <w:rFonts w:ascii="Arial" w:hAnsi="Arial" w:cs="Arial"/>
          <w:sz w:val="16"/>
          <w:szCs w:val="16"/>
        </w:rPr>
        <w:t>Research Brief,</w:t>
      </w:r>
      <w:r w:rsidRPr="004E7452">
        <w:rPr>
          <w:rFonts w:ascii="Arial" w:hAnsi="Arial" w:cs="Arial"/>
          <w:sz w:val="16"/>
          <w:szCs w:val="16"/>
        </w:rPr>
        <w:t> </w:t>
      </w:r>
      <w:r w:rsidRPr="004E7452">
        <w:rPr>
          <w:rStyle w:val="do-cited-date"/>
          <w:rFonts w:ascii="Arial" w:hAnsi="Arial" w:cs="Arial"/>
          <w:sz w:val="16"/>
          <w:szCs w:val="16"/>
        </w:rPr>
        <w:t>October 6,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EB1E" w14:textId="6DAF5979" w:rsidR="00506AAD" w:rsidRPr="00D93FF2" w:rsidRDefault="005526F9" w:rsidP="00AA3D19">
    <w:pPr>
      <w:pStyle w:val="Header"/>
      <w:rPr>
        <w:rFonts w:ascii="Arial" w:hAnsi="Arial" w:cs="Arial"/>
        <w:b/>
        <w:color w:val="FF0000"/>
        <w:sz w:val="28"/>
        <w:szCs w:val="28"/>
      </w:rPr>
    </w:pPr>
    <w:r>
      <w:rPr>
        <w:noProof/>
      </w:rPr>
      <w:drawing>
        <wp:anchor distT="0" distB="0" distL="114300" distR="114300" simplePos="0" relativeHeight="251657216" behindDoc="1" locked="0" layoutInCell="1" allowOverlap="1" wp14:anchorId="019671F9" wp14:editId="0474680E">
          <wp:simplePos x="0" y="0"/>
          <wp:positionH relativeFrom="column">
            <wp:posOffset>6301</wp:posOffset>
          </wp:positionH>
          <wp:positionV relativeFrom="paragraph">
            <wp:posOffset>207010</wp:posOffset>
          </wp:positionV>
          <wp:extent cx="2947035" cy="5029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2920"/>
                  </a:xfrm>
                  <a:prstGeom prst="rect">
                    <a:avLst/>
                  </a:prstGeom>
                  <a:noFill/>
                  <a:ln>
                    <a:noFill/>
                  </a:ln>
                </pic:spPr>
              </pic:pic>
            </a:graphicData>
          </a:graphic>
        </wp:anchor>
      </w:drawing>
    </w:r>
    <w:r w:rsidR="00365A8B">
      <w:rPr>
        <w:rFonts w:ascii="Arial" w:hAnsi="Arial" w:cs="Arial"/>
        <w:b/>
        <w:color w:val="FF0000"/>
        <w:sz w:val="28"/>
        <w:szCs w:val="28"/>
      </w:rPr>
      <w:t xml:space="preserve">                                   </w:t>
    </w:r>
    <w:r w:rsidR="00506AAD">
      <w:rPr>
        <w:rFonts w:ascii="Arial" w:hAnsi="Arial" w:cs="Arial"/>
        <w:b/>
        <w:color w:val="FF0000"/>
        <w:sz w:val="28"/>
        <w:szCs w:val="28"/>
      </w:rPr>
      <w:t xml:space="preserve"> </w:t>
    </w:r>
  </w:p>
  <w:p w14:paraId="3004A2C2" w14:textId="20753D17" w:rsidR="00506AAD" w:rsidRDefault="00506AAD" w:rsidP="00AA3D19">
    <w:pPr>
      <w:pStyle w:val="Header"/>
    </w:pPr>
    <w:r>
      <w:rPr>
        <w:noProof/>
      </w:rPr>
      <mc:AlternateContent>
        <mc:Choice Requires="wps">
          <w:drawing>
            <wp:anchor distT="4294967292" distB="4294967292" distL="114300" distR="114300" simplePos="0" relativeHeight="251656192" behindDoc="0" locked="0" layoutInCell="1" allowOverlap="1" wp14:anchorId="05236E7C" wp14:editId="3B523D9B">
              <wp:simplePos x="0" y="0"/>
              <wp:positionH relativeFrom="column">
                <wp:posOffset>661035</wp:posOffset>
              </wp:positionH>
              <wp:positionV relativeFrom="paragraph">
                <wp:posOffset>688339</wp:posOffset>
              </wp:positionV>
              <wp:extent cx="4853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3940" cy="0"/>
                      </a:xfrm>
                      <a:prstGeom prst="line">
                        <a:avLst/>
                      </a:prstGeom>
                      <a:noFill/>
                      <a:ln w="6350"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9073AA0" id="Straight Connector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2.05pt,54.2pt" to="434.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" strokecolor="#7f7f7f" strokeweight=".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D4098F"/>
    <w:multiLevelType w:val="hybridMultilevel"/>
    <w:tmpl w:val="977E0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34822"/>
    <w:multiLevelType w:val="hybridMultilevel"/>
    <w:tmpl w:val="1C2C4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897371"/>
    <w:multiLevelType w:val="hybridMultilevel"/>
    <w:tmpl w:val="A1E2E24E"/>
    <w:lvl w:ilvl="0" w:tplc="6F7EA8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C1ACF"/>
    <w:multiLevelType w:val="hybridMultilevel"/>
    <w:tmpl w:val="66DC7C56"/>
    <w:lvl w:ilvl="0" w:tplc="04090015">
      <w:start w:val="1"/>
      <w:numFmt w:val="upperLetter"/>
      <w:lvlText w:val="%1."/>
      <w:lvlJc w:val="left"/>
      <w:pPr>
        <w:ind w:left="504" w:hanging="360"/>
      </w:pPr>
      <w:rPr>
        <w:rFonts w:hint="default"/>
      </w:rPr>
    </w:lvl>
    <w:lvl w:ilvl="1" w:tplc="04090015">
      <w:start w:val="1"/>
      <w:numFmt w:val="upp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0A82553C"/>
    <w:multiLevelType w:val="hybridMultilevel"/>
    <w:tmpl w:val="3CCA6124"/>
    <w:lvl w:ilvl="0" w:tplc="0409000F">
      <w:start w:val="1"/>
      <w:numFmt w:val="decimal"/>
      <w:lvlText w:val="%1."/>
      <w:lvlJc w:val="left"/>
      <w:pPr>
        <w:ind w:left="504" w:hanging="360"/>
      </w:pPr>
    </w:lvl>
    <w:lvl w:ilvl="1" w:tplc="04090015">
      <w:start w:val="1"/>
      <w:numFmt w:val="upp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0BF27DCD"/>
    <w:multiLevelType w:val="hybridMultilevel"/>
    <w:tmpl w:val="B8E478E0"/>
    <w:lvl w:ilvl="0" w:tplc="D65C08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F327A"/>
    <w:multiLevelType w:val="hybridMultilevel"/>
    <w:tmpl w:val="45D695CE"/>
    <w:lvl w:ilvl="0" w:tplc="AB42968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126BE7"/>
    <w:multiLevelType w:val="hybridMultilevel"/>
    <w:tmpl w:val="5326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F4A57"/>
    <w:multiLevelType w:val="hybridMultilevel"/>
    <w:tmpl w:val="8228DE1E"/>
    <w:lvl w:ilvl="0" w:tplc="3F7E5990">
      <w:start w:val="5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E6285"/>
    <w:multiLevelType w:val="hybridMultilevel"/>
    <w:tmpl w:val="CEC4E646"/>
    <w:lvl w:ilvl="0" w:tplc="00842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8785D"/>
    <w:multiLevelType w:val="hybridMultilevel"/>
    <w:tmpl w:val="3ACA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97149"/>
    <w:multiLevelType w:val="hybridMultilevel"/>
    <w:tmpl w:val="2110DB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0625E9"/>
    <w:multiLevelType w:val="hybridMultilevel"/>
    <w:tmpl w:val="1592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2565D"/>
    <w:multiLevelType w:val="hybridMultilevel"/>
    <w:tmpl w:val="A202D422"/>
    <w:lvl w:ilvl="0" w:tplc="9E7EE83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6218FC"/>
    <w:multiLevelType w:val="hybridMultilevel"/>
    <w:tmpl w:val="719CDE68"/>
    <w:lvl w:ilvl="0" w:tplc="E52A3C6A">
      <w:start w:val="1"/>
      <w:numFmt w:val="bullet"/>
      <w:lvlText w:val="•"/>
      <w:lvlJc w:val="left"/>
      <w:pPr>
        <w:tabs>
          <w:tab w:val="num" w:pos="720"/>
        </w:tabs>
        <w:ind w:left="720" w:hanging="360"/>
      </w:pPr>
      <w:rPr>
        <w:rFonts w:ascii="Arial" w:hAnsi="Arial" w:hint="default"/>
      </w:rPr>
    </w:lvl>
    <w:lvl w:ilvl="1" w:tplc="4240E95C" w:tentative="1">
      <w:start w:val="1"/>
      <w:numFmt w:val="bullet"/>
      <w:lvlText w:val="•"/>
      <w:lvlJc w:val="left"/>
      <w:pPr>
        <w:tabs>
          <w:tab w:val="num" w:pos="1440"/>
        </w:tabs>
        <w:ind w:left="1440" w:hanging="360"/>
      </w:pPr>
      <w:rPr>
        <w:rFonts w:ascii="Arial" w:hAnsi="Arial" w:hint="default"/>
      </w:rPr>
    </w:lvl>
    <w:lvl w:ilvl="2" w:tplc="1CCE7C58" w:tentative="1">
      <w:start w:val="1"/>
      <w:numFmt w:val="bullet"/>
      <w:lvlText w:val="•"/>
      <w:lvlJc w:val="left"/>
      <w:pPr>
        <w:tabs>
          <w:tab w:val="num" w:pos="2160"/>
        </w:tabs>
        <w:ind w:left="2160" w:hanging="360"/>
      </w:pPr>
      <w:rPr>
        <w:rFonts w:ascii="Arial" w:hAnsi="Arial" w:hint="default"/>
      </w:rPr>
    </w:lvl>
    <w:lvl w:ilvl="3" w:tplc="C6AC36A2" w:tentative="1">
      <w:start w:val="1"/>
      <w:numFmt w:val="bullet"/>
      <w:lvlText w:val="•"/>
      <w:lvlJc w:val="left"/>
      <w:pPr>
        <w:tabs>
          <w:tab w:val="num" w:pos="2880"/>
        </w:tabs>
        <w:ind w:left="2880" w:hanging="360"/>
      </w:pPr>
      <w:rPr>
        <w:rFonts w:ascii="Arial" w:hAnsi="Arial" w:hint="default"/>
      </w:rPr>
    </w:lvl>
    <w:lvl w:ilvl="4" w:tplc="3F4EEC76" w:tentative="1">
      <w:start w:val="1"/>
      <w:numFmt w:val="bullet"/>
      <w:lvlText w:val="•"/>
      <w:lvlJc w:val="left"/>
      <w:pPr>
        <w:tabs>
          <w:tab w:val="num" w:pos="3600"/>
        </w:tabs>
        <w:ind w:left="3600" w:hanging="360"/>
      </w:pPr>
      <w:rPr>
        <w:rFonts w:ascii="Arial" w:hAnsi="Arial" w:hint="default"/>
      </w:rPr>
    </w:lvl>
    <w:lvl w:ilvl="5" w:tplc="323EF418" w:tentative="1">
      <w:start w:val="1"/>
      <w:numFmt w:val="bullet"/>
      <w:lvlText w:val="•"/>
      <w:lvlJc w:val="left"/>
      <w:pPr>
        <w:tabs>
          <w:tab w:val="num" w:pos="4320"/>
        </w:tabs>
        <w:ind w:left="4320" w:hanging="360"/>
      </w:pPr>
      <w:rPr>
        <w:rFonts w:ascii="Arial" w:hAnsi="Arial" w:hint="default"/>
      </w:rPr>
    </w:lvl>
    <w:lvl w:ilvl="6" w:tplc="0894975A" w:tentative="1">
      <w:start w:val="1"/>
      <w:numFmt w:val="bullet"/>
      <w:lvlText w:val="•"/>
      <w:lvlJc w:val="left"/>
      <w:pPr>
        <w:tabs>
          <w:tab w:val="num" w:pos="5040"/>
        </w:tabs>
        <w:ind w:left="5040" w:hanging="360"/>
      </w:pPr>
      <w:rPr>
        <w:rFonts w:ascii="Arial" w:hAnsi="Arial" w:hint="default"/>
      </w:rPr>
    </w:lvl>
    <w:lvl w:ilvl="7" w:tplc="D59C3F2A" w:tentative="1">
      <w:start w:val="1"/>
      <w:numFmt w:val="bullet"/>
      <w:lvlText w:val="•"/>
      <w:lvlJc w:val="left"/>
      <w:pPr>
        <w:tabs>
          <w:tab w:val="num" w:pos="5760"/>
        </w:tabs>
        <w:ind w:left="5760" w:hanging="360"/>
      </w:pPr>
      <w:rPr>
        <w:rFonts w:ascii="Arial" w:hAnsi="Arial" w:hint="default"/>
      </w:rPr>
    </w:lvl>
    <w:lvl w:ilvl="8" w:tplc="A06AA1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FE60FA"/>
    <w:multiLevelType w:val="hybridMultilevel"/>
    <w:tmpl w:val="30602F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C2F30"/>
    <w:multiLevelType w:val="hybridMultilevel"/>
    <w:tmpl w:val="F00ED140"/>
    <w:lvl w:ilvl="0" w:tplc="2DB268CC">
      <w:start w:val="1"/>
      <w:numFmt w:val="bullet"/>
      <w:pStyle w:val="BulletLevel1"/>
      <w:lvlText w:val=""/>
      <w:lvlJc w:val="left"/>
      <w:pPr>
        <w:ind w:left="1080" w:hanging="360"/>
      </w:pPr>
      <w:rPr>
        <w:rFonts w:ascii="Symbol" w:hAnsi="Symbol" w:hint="default"/>
      </w:rPr>
    </w:lvl>
    <w:lvl w:ilvl="1" w:tplc="1122B94A">
      <w:start w:val="1"/>
      <w:numFmt w:val="bullet"/>
      <w:pStyle w:val="BulletLevel2"/>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8A5EAE"/>
    <w:multiLevelType w:val="hybridMultilevel"/>
    <w:tmpl w:val="33D24EDE"/>
    <w:lvl w:ilvl="0" w:tplc="0409000F">
      <w:start w:val="1"/>
      <w:numFmt w:val="decimal"/>
      <w:lvlText w:val="%1."/>
      <w:lvlJc w:val="left"/>
      <w:pPr>
        <w:ind w:left="504" w:hanging="360"/>
      </w:pPr>
      <w:rPr>
        <w:rFonts w:hint="default"/>
      </w:rPr>
    </w:lvl>
    <w:lvl w:ilvl="1" w:tplc="04090015">
      <w:start w:val="1"/>
      <w:numFmt w:val="upp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51F27AF4"/>
    <w:multiLevelType w:val="hybridMultilevel"/>
    <w:tmpl w:val="71FEB8CA"/>
    <w:styleLink w:val="ImportedStyle2"/>
    <w:lvl w:ilvl="0" w:tplc="8E9ED0C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2CDA7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D86CE0">
      <w:start w:val="1"/>
      <w:numFmt w:val="lowerRoman"/>
      <w:lvlText w:val="%3."/>
      <w:lvlJc w:val="left"/>
      <w:pPr>
        <w:ind w:left="180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B6A536">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0A4CA">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AA39E">
      <w:start w:val="1"/>
      <w:numFmt w:val="lowerRoman"/>
      <w:lvlText w:val="%6."/>
      <w:lvlJc w:val="left"/>
      <w:pPr>
        <w:ind w:left="396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4831FE">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F4C81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5C5240">
      <w:start w:val="1"/>
      <w:numFmt w:val="lowerRoman"/>
      <w:lvlText w:val="%9."/>
      <w:lvlJc w:val="left"/>
      <w:pPr>
        <w:ind w:left="6120" w:hanging="2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4603E95"/>
    <w:multiLevelType w:val="hybridMultilevel"/>
    <w:tmpl w:val="44561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555359F"/>
    <w:multiLevelType w:val="hybridMultilevel"/>
    <w:tmpl w:val="EF54EB00"/>
    <w:lvl w:ilvl="0" w:tplc="FBD4A0E0">
      <w:start w:val="1"/>
      <w:numFmt w:val="bullet"/>
      <w:pStyle w:val="BulletLevel3"/>
      <w:lvlText w:val="─"/>
      <w:lvlJc w:val="left"/>
      <w:pPr>
        <w:ind w:left="2160" w:hanging="360"/>
      </w:pPr>
      <w:rPr>
        <w:rFonts w:ascii="Century Gothic" w:hAnsi="Century Goth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DDB2816"/>
    <w:multiLevelType w:val="hybridMultilevel"/>
    <w:tmpl w:val="0F2660A0"/>
    <w:lvl w:ilvl="0" w:tplc="04090015">
      <w:start w:val="1"/>
      <w:numFmt w:val="upperLetter"/>
      <w:lvlText w:val="%1."/>
      <w:lvlJc w:val="left"/>
      <w:pPr>
        <w:ind w:left="504" w:hanging="360"/>
      </w:pPr>
    </w:lvl>
    <w:lvl w:ilvl="1" w:tplc="04090015">
      <w:start w:val="1"/>
      <w:numFmt w:val="upp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75620975"/>
    <w:multiLevelType w:val="hybridMultilevel"/>
    <w:tmpl w:val="5048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4A794F"/>
    <w:multiLevelType w:val="hybridMultilevel"/>
    <w:tmpl w:val="547A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89887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99157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0167867">
    <w:abstractNumId w:val="18"/>
  </w:num>
  <w:num w:numId="4" w16cid:durableId="22095121">
    <w:abstractNumId w:val="4"/>
  </w:num>
  <w:num w:numId="5" w16cid:durableId="852376866">
    <w:abstractNumId w:val="21"/>
  </w:num>
  <w:num w:numId="6" w16cid:durableId="110052188">
    <w:abstractNumId w:val="9"/>
  </w:num>
  <w:num w:numId="7" w16cid:durableId="774373895">
    <w:abstractNumId w:val="8"/>
  </w:num>
  <w:num w:numId="8" w16cid:durableId="214513926">
    <w:abstractNumId w:val="10"/>
  </w:num>
  <w:num w:numId="9" w16cid:durableId="18707644">
    <w:abstractNumId w:val="0"/>
  </w:num>
  <w:num w:numId="10" w16cid:durableId="629677387">
    <w:abstractNumId w:val="17"/>
  </w:num>
  <w:num w:numId="11" w16cid:durableId="2117169961">
    <w:abstractNumId w:val="3"/>
  </w:num>
  <w:num w:numId="12" w16cid:durableId="882062804">
    <w:abstractNumId w:val="11"/>
  </w:num>
  <w:num w:numId="13" w16cid:durableId="1897469435">
    <w:abstractNumId w:val="6"/>
  </w:num>
  <w:num w:numId="14" w16cid:durableId="253054022">
    <w:abstractNumId w:val="23"/>
  </w:num>
  <w:num w:numId="15" w16cid:durableId="51777905">
    <w:abstractNumId w:val="22"/>
  </w:num>
  <w:num w:numId="16" w16cid:durableId="1944612403">
    <w:abstractNumId w:val="15"/>
  </w:num>
  <w:num w:numId="17" w16cid:durableId="1971666496">
    <w:abstractNumId w:val="14"/>
  </w:num>
  <w:num w:numId="18" w16cid:durableId="1637032669">
    <w:abstractNumId w:val="1"/>
  </w:num>
  <w:num w:numId="19" w16cid:durableId="1604730927">
    <w:abstractNumId w:val="19"/>
  </w:num>
  <w:num w:numId="20" w16cid:durableId="1721591322">
    <w:abstractNumId w:val="13"/>
  </w:num>
  <w:num w:numId="21" w16cid:durableId="1927568119">
    <w:abstractNumId w:val="2"/>
  </w:num>
  <w:num w:numId="22" w16cid:durableId="2081175738">
    <w:abstractNumId w:val="5"/>
  </w:num>
  <w:num w:numId="23" w16cid:durableId="318773023">
    <w:abstractNumId w:val="7"/>
  </w:num>
  <w:num w:numId="24" w16cid:durableId="99753767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3sjS1sLSwMDUyNzVX0lEKTi0uzszPAykwqQUAT0X8lywAAAA="/>
    <w:docVar w:name="dgnword-docGUID" w:val="{D9F46F36-00E7-4174-9152-A2140210AE99}"/>
    <w:docVar w:name="dgnword-eventsink" w:val="78142696"/>
  </w:docVars>
  <w:rsids>
    <w:rsidRoot w:val="00411233"/>
    <w:rsid w:val="00001716"/>
    <w:rsid w:val="0000389E"/>
    <w:rsid w:val="0000450B"/>
    <w:rsid w:val="0000460E"/>
    <w:rsid w:val="00004929"/>
    <w:rsid w:val="00005509"/>
    <w:rsid w:val="00005576"/>
    <w:rsid w:val="00005A3D"/>
    <w:rsid w:val="00007A67"/>
    <w:rsid w:val="0001002C"/>
    <w:rsid w:val="0001067B"/>
    <w:rsid w:val="00010ADC"/>
    <w:rsid w:val="00010F19"/>
    <w:rsid w:val="00011532"/>
    <w:rsid w:val="0001199E"/>
    <w:rsid w:val="00011E11"/>
    <w:rsid w:val="00012D9B"/>
    <w:rsid w:val="00013265"/>
    <w:rsid w:val="00013A2E"/>
    <w:rsid w:val="00013A87"/>
    <w:rsid w:val="00013D55"/>
    <w:rsid w:val="00013E3C"/>
    <w:rsid w:val="00014021"/>
    <w:rsid w:val="00014CBA"/>
    <w:rsid w:val="000160FE"/>
    <w:rsid w:val="000208B8"/>
    <w:rsid w:val="00021A63"/>
    <w:rsid w:val="00022568"/>
    <w:rsid w:val="00023AF1"/>
    <w:rsid w:val="00023E9A"/>
    <w:rsid w:val="00024C3D"/>
    <w:rsid w:val="000275AD"/>
    <w:rsid w:val="0003125A"/>
    <w:rsid w:val="000318B7"/>
    <w:rsid w:val="00033B2F"/>
    <w:rsid w:val="0003414A"/>
    <w:rsid w:val="00034DAF"/>
    <w:rsid w:val="000352CF"/>
    <w:rsid w:val="00035A55"/>
    <w:rsid w:val="00035EBE"/>
    <w:rsid w:val="00036F1F"/>
    <w:rsid w:val="00037570"/>
    <w:rsid w:val="00037A5C"/>
    <w:rsid w:val="000402E1"/>
    <w:rsid w:val="00040C1A"/>
    <w:rsid w:val="00040F4F"/>
    <w:rsid w:val="0004198A"/>
    <w:rsid w:val="00041EF7"/>
    <w:rsid w:val="0004222B"/>
    <w:rsid w:val="00042CB4"/>
    <w:rsid w:val="000431CE"/>
    <w:rsid w:val="00043956"/>
    <w:rsid w:val="000466E5"/>
    <w:rsid w:val="000475B1"/>
    <w:rsid w:val="00052C3A"/>
    <w:rsid w:val="00052F80"/>
    <w:rsid w:val="00053FC2"/>
    <w:rsid w:val="000562C9"/>
    <w:rsid w:val="000569FD"/>
    <w:rsid w:val="000578E0"/>
    <w:rsid w:val="000613E7"/>
    <w:rsid w:val="000616A1"/>
    <w:rsid w:val="000619BB"/>
    <w:rsid w:val="00062E7C"/>
    <w:rsid w:val="000637B0"/>
    <w:rsid w:val="00063B44"/>
    <w:rsid w:val="00063C75"/>
    <w:rsid w:val="0006483A"/>
    <w:rsid w:val="00065944"/>
    <w:rsid w:val="00065ED7"/>
    <w:rsid w:val="00066917"/>
    <w:rsid w:val="00067403"/>
    <w:rsid w:val="00067F85"/>
    <w:rsid w:val="0007004C"/>
    <w:rsid w:val="00072515"/>
    <w:rsid w:val="00072552"/>
    <w:rsid w:val="000726FB"/>
    <w:rsid w:val="00072DD8"/>
    <w:rsid w:val="000745F7"/>
    <w:rsid w:val="00074DA0"/>
    <w:rsid w:val="00075546"/>
    <w:rsid w:val="00076730"/>
    <w:rsid w:val="00076F5F"/>
    <w:rsid w:val="000803E3"/>
    <w:rsid w:val="0008098B"/>
    <w:rsid w:val="00080D55"/>
    <w:rsid w:val="000833B3"/>
    <w:rsid w:val="00083408"/>
    <w:rsid w:val="00083596"/>
    <w:rsid w:val="00084EB5"/>
    <w:rsid w:val="00085DBB"/>
    <w:rsid w:val="00086CA8"/>
    <w:rsid w:val="00087C3D"/>
    <w:rsid w:val="00090E1A"/>
    <w:rsid w:val="00091912"/>
    <w:rsid w:val="00094938"/>
    <w:rsid w:val="00094C43"/>
    <w:rsid w:val="00094E02"/>
    <w:rsid w:val="000952B9"/>
    <w:rsid w:val="00095C0F"/>
    <w:rsid w:val="00096339"/>
    <w:rsid w:val="00097D00"/>
    <w:rsid w:val="000A07ED"/>
    <w:rsid w:val="000A0A26"/>
    <w:rsid w:val="000A0C62"/>
    <w:rsid w:val="000A1129"/>
    <w:rsid w:val="000A1537"/>
    <w:rsid w:val="000A35E9"/>
    <w:rsid w:val="000A3C27"/>
    <w:rsid w:val="000A564D"/>
    <w:rsid w:val="000B2497"/>
    <w:rsid w:val="000B2A8A"/>
    <w:rsid w:val="000B3630"/>
    <w:rsid w:val="000B449A"/>
    <w:rsid w:val="000B5034"/>
    <w:rsid w:val="000B7CF5"/>
    <w:rsid w:val="000C0718"/>
    <w:rsid w:val="000C1001"/>
    <w:rsid w:val="000C2D74"/>
    <w:rsid w:val="000C3378"/>
    <w:rsid w:val="000C34AE"/>
    <w:rsid w:val="000C420D"/>
    <w:rsid w:val="000C4E18"/>
    <w:rsid w:val="000C6954"/>
    <w:rsid w:val="000D0233"/>
    <w:rsid w:val="000D1047"/>
    <w:rsid w:val="000D1487"/>
    <w:rsid w:val="000D21E0"/>
    <w:rsid w:val="000D56AC"/>
    <w:rsid w:val="000D66AC"/>
    <w:rsid w:val="000E00CD"/>
    <w:rsid w:val="000E02ED"/>
    <w:rsid w:val="000E099D"/>
    <w:rsid w:val="000E4575"/>
    <w:rsid w:val="000E56BA"/>
    <w:rsid w:val="000E69F2"/>
    <w:rsid w:val="000F3CBF"/>
    <w:rsid w:val="000F6A35"/>
    <w:rsid w:val="000F74CD"/>
    <w:rsid w:val="001001E9"/>
    <w:rsid w:val="0010193B"/>
    <w:rsid w:val="00101DF3"/>
    <w:rsid w:val="00103205"/>
    <w:rsid w:val="00103DE4"/>
    <w:rsid w:val="0010562C"/>
    <w:rsid w:val="001072B9"/>
    <w:rsid w:val="00107505"/>
    <w:rsid w:val="001076F4"/>
    <w:rsid w:val="00107777"/>
    <w:rsid w:val="001077B8"/>
    <w:rsid w:val="00107FD6"/>
    <w:rsid w:val="001106D2"/>
    <w:rsid w:val="00110976"/>
    <w:rsid w:val="00111610"/>
    <w:rsid w:val="00111EDD"/>
    <w:rsid w:val="00111F4B"/>
    <w:rsid w:val="00112B64"/>
    <w:rsid w:val="00112D12"/>
    <w:rsid w:val="00113C4C"/>
    <w:rsid w:val="001141F8"/>
    <w:rsid w:val="00116CAA"/>
    <w:rsid w:val="00117742"/>
    <w:rsid w:val="001203B7"/>
    <w:rsid w:val="00120432"/>
    <w:rsid w:val="00120973"/>
    <w:rsid w:val="001223D2"/>
    <w:rsid w:val="0012275C"/>
    <w:rsid w:val="00125F83"/>
    <w:rsid w:val="001261C6"/>
    <w:rsid w:val="001269C4"/>
    <w:rsid w:val="00126E44"/>
    <w:rsid w:val="0012700D"/>
    <w:rsid w:val="00127412"/>
    <w:rsid w:val="00127577"/>
    <w:rsid w:val="00127BAE"/>
    <w:rsid w:val="00127D70"/>
    <w:rsid w:val="00130E1D"/>
    <w:rsid w:val="001313C3"/>
    <w:rsid w:val="00134D63"/>
    <w:rsid w:val="00135782"/>
    <w:rsid w:val="00135D65"/>
    <w:rsid w:val="00135F19"/>
    <w:rsid w:val="001370C9"/>
    <w:rsid w:val="001373D5"/>
    <w:rsid w:val="00137614"/>
    <w:rsid w:val="001379B5"/>
    <w:rsid w:val="00140C2B"/>
    <w:rsid w:val="00140C4E"/>
    <w:rsid w:val="0014197C"/>
    <w:rsid w:val="0014217E"/>
    <w:rsid w:val="00143B13"/>
    <w:rsid w:val="00144382"/>
    <w:rsid w:val="001458D2"/>
    <w:rsid w:val="001458E6"/>
    <w:rsid w:val="00147B46"/>
    <w:rsid w:val="001504D9"/>
    <w:rsid w:val="001508C7"/>
    <w:rsid w:val="001509B7"/>
    <w:rsid w:val="001520E5"/>
    <w:rsid w:val="00152365"/>
    <w:rsid w:val="00153069"/>
    <w:rsid w:val="0015308A"/>
    <w:rsid w:val="00154AFE"/>
    <w:rsid w:val="0015581C"/>
    <w:rsid w:val="00156651"/>
    <w:rsid w:val="001566FF"/>
    <w:rsid w:val="00157E84"/>
    <w:rsid w:val="00157FBB"/>
    <w:rsid w:val="00163CDB"/>
    <w:rsid w:val="00165BF1"/>
    <w:rsid w:val="0016763A"/>
    <w:rsid w:val="0017002B"/>
    <w:rsid w:val="00175BDE"/>
    <w:rsid w:val="00176493"/>
    <w:rsid w:val="001768AE"/>
    <w:rsid w:val="0018072B"/>
    <w:rsid w:val="001809BC"/>
    <w:rsid w:val="00182304"/>
    <w:rsid w:val="001836FB"/>
    <w:rsid w:val="0018478A"/>
    <w:rsid w:val="0018486C"/>
    <w:rsid w:val="00184BEA"/>
    <w:rsid w:val="00186380"/>
    <w:rsid w:val="00186B64"/>
    <w:rsid w:val="00186BED"/>
    <w:rsid w:val="00187CF3"/>
    <w:rsid w:val="001900F0"/>
    <w:rsid w:val="00191682"/>
    <w:rsid w:val="001923C4"/>
    <w:rsid w:val="00192EAD"/>
    <w:rsid w:val="001947BE"/>
    <w:rsid w:val="00195042"/>
    <w:rsid w:val="00195072"/>
    <w:rsid w:val="00196EA5"/>
    <w:rsid w:val="0019785B"/>
    <w:rsid w:val="001A22E3"/>
    <w:rsid w:val="001A3CDA"/>
    <w:rsid w:val="001A4208"/>
    <w:rsid w:val="001A47CB"/>
    <w:rsid w:val="001A5640"/>
    <w:rsid w:val="001A67CC"/>
    <w:rsid w:val="001B018E"/>
    <w:rsid w:val="001B12E8"/>
    <w:rsid w:val="001B366F"/>
    <w:rsid w:val="001B5CCC"/>
    <w:rsid w:val="001B7F22"/>
    <w:rsid w:val="001C190F"/>
    <w:rsid w:val="001C21D6"/>
    <w:rsid w:val="001C3321"/>
    <w:rsid w:val="001C5857"/>
    <w:rsid w:val="001C7CED"/>
    <w:rsid w:val="001D056E"/>
    <w:rsid w:val="001D33ED"/>
    <w:rsid w:val="001D37BD"/>
    <w:rsid w:val="001D5A74"/>
    <w:rsid w:val="001D6886"/>
    <w:rsid w:val="001D7474"/>
    <w:rsid w:val="001D78DB"/>
    <w:rsid w:val="001D79C3"/>
    <w:rsid w:val="001E0353"/>
    <w:rsid w:val="001E170B"/>
    <w:rsid w:val="001E1B1F"/>
    <w:rsid w:val="001E1E38"/>
    <w:rsid w:val="001E270C"/>
    <w:rsid w:val="001E28DD"/>
    <w:rsid w:val="001E4D3F"/>
    <w:rsid w:val="001E4F90"/>
    <w:rsid w:val="001E6A36"/>
    <w:rsid w:val="001E7056"/>
    <w:rsid w:val="001E76CD"/>
    <w:rsid w:val="001F0B82"/>
    <w:rsid w:val="001F1CCF"/>
    <w:rsid w:val="001F3921"/>
    <w:rsid w:val="001F418B"/>
    <w:rsid w:val="001F44B4"/>
    <w:rsid w:val="001F4E24"/>
    <w:rsid w:val="001F500A"/>
    <w:rsid w:val="001F571D"/>
    <w:rsid w:val="002005C3"/>
    <w:rsid w:val="00201976"/>
    <w:rsid w:val="002022AD"/>
    <w:rsid w:val="00203263"/>
    <w:rsid w:val="002036B0"/>
    <w:rsid w:val="00205C54"/>
    <w:rsid w:val="00210BA0"/>
    <w:rsid w:val="002114A0"/>
    <w:rsid w:val="00211A7F"/>
    <w:rsid w:val="002120FE"/>
    <w:rsid w:val="00212338"/>
    <w:rsid w:val="00212903"/>
    <w:rsid w:val="002141D0"/>
    <w:rsid w:val="0021744B"/>
    <w:rsid w:val="00217880"/>
    <w:rsid w:val="002206E1"/>
    <w:rsid w:val="00220846"/>
    <w:rsid w:val="00220F97"/>
    <w:rsid w:val="00222371"/>
    <w:rsid w:val="00223240"/>
    <w:rsid w:val="002236AC"/>
    <w:rsid w:val="00224CCF"/>
    <w:rsid w:val="00225AE0"/>
    <w:rsid w:val="00225B29"/>
    <w:rsid w:val="00226228"/>
    <w:rsid w:val="00226EB6"/>
    <w:rsid w:val="00230613"/>
    <w:rsid w:val="00230A38"/>
    <w:rsid w:val="00230C54"/>
    <w:rsid w:val="00230D7D"/>
    <w:rsid w:val="002330D7"/>
    <w:rsid w:val="002335C9"/>
    <w:rsid w:val="00234797"/>
    <w:rsid w:val="00235644"/>
    <w:rsid w:val="0023581A"/>
    <w:rsid w:val="00235904"/>
    <w:rsid w:val="00235922"/>
    <w:rsid w:val="00242D4F"/>
    <w:rsid w:val="002435B2"/>
    <w:rsid w:val="002435DF"/>
    <w:rsid w:val="00246536"/>
    <w:rsid w:val="00246C35"/>
    <w:rsid w:val="0024742C"/>
    <w:rsid w:val="00247A13"/>
    <w:rsid w:val="00247D00"/>
    <w:rsid w:val="00247FBD"/>
    <w:rsid w:val="00250BA9"/>
    <w:rsid w:val="00251718"/>
    <w:rsid w:val="002519AE"/>
    <w:rsid w:val="00252A1B"/>
    <w:rsid w:val="00253150"/>
    <w:rsid w:val="0025474E"/>
    <w:rsid w:val="002576CC"/>
    <w:rsid w:val="0026001B"/>
    <w:rsid w:val="00260106"/>
    <w:rsid w:val="00260242"/>
    <w:rsid w:val="00260C1B"/>
    <w:rsid w:val="00263601"/>
    <w:rsid w:val="00263FC3"/>
    <w:rsid w:val="002646F8"/>
    <w:rsid w:val="00265110"/>
    <w:rsid w:val="00265494"/>
    <w:rsid w:val="002664EB"/>
    <w:rsid w:val="002701AA"/>
    <w:rsid w:val="0027088D"/>
    <w:rsid w:val="00271F22"/>
    <w:rsid w:val="002723A3"/>
    <w:rsid w:val="00272FC0"/>
    <w:rsid w:val="00274ED5"/>
    <w:rsid w:val="00277BE6"/>
    <w:rsid w:val="002805A6"/>
    <w:rsid w:val="00282AB5"/>
    <w:rsid w:val="00282C37"/>
    <w:rsid w:val="002831E6"/>
    <w:rsid w:val="00283510"/>
    <w:rsid w:val="0028422B"/>
    <w:rsid w:val="002854B2"/>
    <w:rsid w:val="00286E31"/>
    <w:rsid w:val="0028794D"/>
    <w:rsid w:val="00287DEC"/>
    <w:rsid w:val="0029070A"/>
    <w:rsid w:val="00293516"/>
    <w:rsid w:val="00294215"/>
    <w:rsid w:val="002946DA"/>
    <w:rsid w:val="002958F9"/>
    <w:rsid w:val="00296000"/>
    <w:rsid w:val="00296023"/>
    <w:rsid w:val="00297806"/>
    <w:rsid w:val="002A06E6"/>
    <w:rsid w:val="002A1B7D"/>
    <w:rsid w:val="002A277C"/>
    <w:rsid w:val="002A2A7D"/>
    <w:rsid w:val="002A5C43"/>
    <w:rsid w:val="002A5F35"/>
    <w:rsid w:val="002A68B8"/>
    <w:rsid w:val="002B06E3"/>
    <w:rsid w:val="002B0721"/>
    <w:rsid w:val="002B0837"/>
    <w:rsid w:val="002B0A01"/>
    <w:rsid w:val="002B2792"/>
    <w:rsid w:val="002B297C"/>
    <w:rsid w:val="002B35BA"/>
    <w:rsid w:val="002B4516"/>
    <w:rsid w:val="002B4B9A"/>
    <w:rsid w:val="002B4F18"/>
    <w:rsid w:val="002B5DA8"/>
    <w:rsid w:val="002B6CFD"/>
    <w:rsid w:val="002B7E6D"/>
    <w:rsid w:val="002C0093"/>
    <w:rsid w:val="002C1CDE"/>
    <w:rsid w:val="002C2903"/>
    <w:rsid w:val="002C319A"/>
    <w:rsid w:val="002C38D2"/>
    <w:rsid w:val="002C393C"/>
    <w:rsid w:val="002C4CFF"/>
    <w:rsid w:val="002C52E6"/>
    <w:rsid w:val="002C7BA2"/>
    <w:rsid w:val="002D13D3"/>
    <w:rsid w:val="002D14F8"/>
    <w:rsid w:val="002D2476"/>
    <w:rsid w:val="002D260E"/>
    <w:rsid w:val="002D2C39"/>
    <w:rsid w:val="002D3F83"/>
    <w:rsid w:val="002D3FAB"/>
    <w:rsid w:val="002D510B"/>
    <w:rsid w:val="002D57C6"/>
    <w:rsid w:val="002D5B7C"/>
    <w:rsid w:val="002D5B8E"/>
    <w:rsid w:val="002E0785"/>
    <w:rsid w:val="002E21DC"/>
    <w:rsid w:val="002E24FB"/>
    <w:rsid w:val="002E3CD4"/>
    <w:rsid w:val="002E49D9"/>
    <w:rsid w:val="002E58BB"/>
    <w:rsid w:val="002E6074"/>
    <w:rsid w:val="002E6414"/>
    <w:rsid w:val="002E71A7"/>
    <w:rsid w:val="002E7DAC"/>
    <w:rsid w:val="002F1382"/>
    <w:rsid w:val="002F2057"/>
    <w:rsid w:val="002F298E"/>
    <w:rsid w:val="002F2A1B"/>
    <w:rsid w:val="002F392E"/>
    <w:rsid w:val="002F3E40"/>
    <w:rsid w:val="002F4ACA"/>
    <w:rsid w:val="002F5535"/>
    <w:rsid w:val="002F5614"/>
    <w:rsid w:val="002F5800"/>
    <w:rsid w:val="002F5968"/>
    <w:rsid w:val="002F79AE"/>
    <w:rsid w:val="00301F8D"/>
    <w:rsid w:val="0030230A"/>
    <w:rsid w:val="003036C6"/>
    <w:rsid w:val="00303E76"/>
    <w:rsid w:val="003055CF"/>
    <w:rsid w:val="0030591D"/>
    <w:rsid w:val="00310C8C"/>
    <w:rsid w:val="00312A00"/>
    <w:rsid w:val="00313EF8"/>
    <w:rsid w:val="00315846"/>
    <w:rsid w:val="003170D4"/>
    <w:rsid w:val="003172F7"/>
    <w:rsid w:val="0031795F"/>
    <w:rsid w:val="00320209"/>
    <w:rsid w:val="00320A4E"/>
    <w:rsid w:val="00320A53"/>
    <w:rsid w:val="003220B8"/>
    <w:rsid w:val="00322576"/>
    <w:rsid w:val="00325340"/>
    <w:rsid w:val="00325531"/>
    <w:rsid w:val="00325D48"/>
    <w:rsid w:val="0032783C"/>
    <w:rsid w:val="00327DDC"/>
    <w:rsid w:val="00331520"/>
    <w:rsid w:val="0033218D"/>
    <w:rsid w:val="00333346"/>
    <w:rsid w:val="0033451E"/>
    <w:rsid w:val="00334763"/>
    <w:rsid w:val="00334BBA"/>
    <w:rsid w:val="00334E15"/>
    <w:rsid w:val="00335412"/>
    <w:rsid w:val="00335791"/>
    <w:rsid w:val="0033687F"/>
    <w:rsid w:val="0033788D"/>
    <w:rsid w:val="00340370"/>
    <w:rsid w:val="00340549"/>
    <w:rsid w:val="003409D0"/>
    <w:rsid w:val="00341082"/>
    <w:rsid w:val="0034157D"/>
    <w:rsid w:val="00341B21"/>
    <w:rsid w:val="003463EB"/>
    <w:rsid w:val="00346C13"/>
    <w:rsid w:val="00347C9A"/>
    <w:rsid w:val="00350F76"/>
    <w:rsid w:val="00350FBB"/>
    <w:rsid w:val="00352651"/>
    <w:rsid w:val="00352D33"/>
    <w:rsid w:val="00352F8E"/>
    <w:rsid w:val="003548BA"/>
    <w:rsid w:val="003568DA"/>
    <w:rsid w:val="00360B10"/>
    <w:rsid w:val="00361262"/>
    <w:rsid w:val="00361AF5"/>
    <w:rsid w:val="00361D8E"/>
    <w:rsid w:val="00361F96"/>
    <w:rsid w:val="003622B2"/>
    <w:rsid w:val="003625B8"/>
    <w:rsid w:val="003627BA"/>
    <w:rsid w:val="00363B72"/>
    <w:rsid w:val="00364F7D"/>
    <w:rsid w:val="00365A8B"/>
    <w:rsid w:val="00370242"/>
    <w:rsid w:val="003705F1"/>
    <w:rsid w:val="00371396"/>
    <w:rsid w:val="003717CB"/>
    <w:rsid w:val="003730D0"/>
    <w:rsid w:val="00373B28"/>
    <w:rsid w:val="00374865"/>
    <w:rsid w:val="00375E7A"/>
    <w:rsid w:val="00380AA0"/>
    <w:rsid w:val="00383225"/>
    <w:rsid w:val="003835AF"/>
    <w:rsid w:val="003841A7"/>
    <w:rsid w:val="00385776"/>
    <w:rsid w:val="00385BB6"/>
    <w:rsid w:val="00386945"/>
    <w:rsid w:val="00387237"/>
    <w:rsid w:val="003908F0"/>
    <w:rsid w:val="00390C71"/>
    <w:rsid w:val="00390E97"/>
    <w:rsid w:val="003916E9"/>
    <w:rsid w:val="003927D6"/>
    <w:rsid w:val="00392E89"/>
    <w:rsid w:val="00393930"/>
    <w:rsid w:val="003954EB"/>
    <w:rsid w:val="00395F8B"/>
    <w:rsid w:val="00395FC1"/>
    <w:rsid w:val="00396746"/>
    <w:rsid w:val="00396F95"/>
    <w:rsid w:val="003A1A2D"/>
    <w:rsid w:val="003A1A76"/>
    <w:rsid w:val="003A2002"/>
    <w:rsid w:val="003A2192"/>
    <w:rsid w:val="003A55A1"/>
    <w:rsid w:val="003A6E8D"/>
    <w:rsid w:val="003B1425"/>
    <w:rsid w:val="003B1696"/>
    <w:rsid w:val="003B4852"/>
    <w:rsid w:val="003B69D0"/>
    <w:rsid w:val="003B6A60"/>
    <w:rsid w:val="003B739F"/>
    <w:rsid w:val="003C0BE1"/>
    <w:rsid w:val="003C0C12"/>
    <w:rsid w:val="003C10C2"/>
    <w:rsid w:val="003C11D6"/>
    <w:rsid w:val="003C26CA"/>
    <w:rsid w:val="003C3644"/>
    <w:rsid w:val="003C39ED"/>
    <w:rsid w:val="003C4237"/>
    <w:rsid w:val="003C523E"/>
    <w:rsid w:val="003C57E5"/>
    <w:rsid w:val="003C5AA9"/>
    <w:rsid w:val="003C71BB"/>
    <w:rsid w:val="003C7218"/>
    <w:rsid w:val="003D06CB"/>
    <w:rsid w:val="003D13C4"/>
    <w:rsid w:val="003D161F"/>
    <w:rsid w:val="003D1652"/>
    <w:rsid w:val="003D1DD6"/>
    <w:rsid w:val="003D3364"/>
    <w:rsid w:val="003D4BCF"/>
    <w:rsid w:val="003D5C26"/>
    <w:rsid w:val="003D6887"/>
    <w:rsid w:val="003D696C"/>
    <w:rsid w:val="003D6C35"/>
    <w:rsid w:val="003D7020"/>
    <w:rsid w:val="003E0FDD"/>
    <w:rsid w:val="003E1230"/>
    <w:rsid w:val="003E212D"/>
    <w:rsid w:val="003E39B4"/>
    <w:rsid w:val="003E3FEF"/>
    <w:rsid w:val="003E5B55"/>
    <w:rsid w:val="003E5BB5"/>
    <w:rsid w:val="003E6709"/>
    <w:rsid w:val="003E6E0E"/>
    <w:rsid w:val="003E758D"/>
    <w:rsid w:val="003F1095"/>
    <w:rsid w:val="003F3DF5"/>
    <w:rsid w:val="003F50A4"/>
    <w:rsid w:val="003F7040"/>
    <w:rsid w:val="003F7C34"/>
    <w:rsid w:val="003F7DB5"/>
    <w:rsid w:val="004010D5"/>
    <w:rsid w:val="00401340"/>
    <w:rsid w:val="00401A5F"/>
    <w:rsid w:val="00401E4C"/>
    <w:rsid w:val="00402655"/>
    <w:rsid w:val="0040290E"/>
    <w:rsid w:val="00404241"/>
    <w:rsid w:val="004067D6"/>
    <w:rsid w:val="0040714C"/>
    <w:rsid w:val="004075A7"/>
    <w:rsid w:val="00410255"/>
    <w:rsid w:val="00411233"/>
    <w:rsid w:val="00412E65"/>
    <w:rsid w:val="0042016E"/>
    <w:rsid w:val="00420A0E"/>
    <w:rsid w:val="004211F5"/>
    <w:rsid w:val="00422742"/>
    <w:rsid w:val="00424272"/>
    <w:rsid w:val="00424C55"/>
    <w:rsid w:val="00425024"/>
    <w:rsid w:val="0042566C"/>
    <w:rsid w:val="00425813"/>
    <w:rsid w:val="00425947"/>
    <w:rsid w:val="00425D80"/>
    <w:rsid w:val="0042793A"/>
    <w:rsid w:val="00431AC2"/>
    <w:rsid w:val="00432904"/>
    <w:rsid w:val="00433B20"/>
    <w:rsid w:val="00433F4A"/>
    <w:rsid w:val="00434014"/>
    <w:rsid w:val="00434372"/>
    <w:rsid w:val="00434A9D"/>
    <w:rsid w:val="00434F03"/>
    <w:rsid w:val="00435842"/>
    <w:rsid w:val="00436490"/>
    <w:rsid w:val="0044114E"/>
    <w:rsid w:val="00442236"/>
    <w:rsid w:val="00442283"/>
    <w:rsid w:val="004422B4"/>
    <w:rsid w:val="0044352C"/>
    <w:rsid w:val="00444340"/>
    <w:rsid w:val="00444B56"/>
    <w:rsid w:val="004453AA"/>
    <w:rsid w:val="00445BAA"/>
    <w:rsid w:val="0044636A"/>
    <w:rsid w:val="004463EE"/>
    <w:rsid w:val="00447341"/>
    <w:rsid w:val="00450F55"/>
    <w:rsid w:val="004515F1"/>
    <w:rsid w:val="0045311D"/>
    <w:rsid w:val="00453550"/>
    <w:rsid w:val="00453608"/>
    <w:rsid w:val="00453C73"/>
    <w:rsid w:val="00454552"/>
    <w:rsid w:val="00454F88"/>
    <w:rsid w:val="00457389"/>
    <w:rsid w:val="00457E7B"/>
    <w:rsid w:val="0046067A"/>
    <w:rsid w:val="00460686"/>
    <w:rsid w:val="004613F7"/>
    <w:rsid w:val="00461930"/>
    <w:rsid w:val="0046218C"/>
    <w:rsid w:val="00464B26"/>
    <w:rsid w:val="00465921"/>
    <w:rsid w:val="004663F0"/>
    <w:rsid w:val="00466D28"/>
    <w:rsid w:val="00467856"/>
    <w:rsid w:val="004701FB"/>
    <w:rsid w:val="00471467"/>
    <w:rsid w:val="0047153E"/>
    <w:rsid w:val="00471FFE"/>
    <w:rsid w:val="00474A07"/>
    <w:rsid w:val="00474E22"/>
    <w:rsid w:val="00475D7B"/>
    <w:rsid w:val="00476FD0"/>
    <w:rsid w:val="004772B7"/>
    <w:rsid w:val="00477DBD"/>
    <w:rsid w:val="004803F4"/>
    <w:rsid w:val="00480C36"/>
    <w:rsid w:val="00482641"/>
    <w:rsid w:val="00484938"/>
    <w:rsid w:val="004856F2"/>
    <w:rsid w:val="00486889"/>
    <w:rsid w:val="00487AF8"/>
    <w:rsid w:val="00487CB6"/>
    <w:rsid w:val="00490370"/>
    <w:rsid w:val="00490A1E"/>
    <w:rsid w:val="00491D42"/>
    <w:rsid w:val="004930CD"/>
    <w:rsid w:val="0049408A"/>
    <w:rsid w:val="004957D9"/>
    <w:rsid w:val="00497AE1"/>
    <w:rsid w:val="004A0283"/>
    <w:rsid w:val="004A0C8E"/>
    <w:rsid w:val="004A1A4B"/>
    <w:rsid w:val="004A234B"/>
    <w:rsid w:val="004A2422"/>
    <w:rsid w:val="004A2BA0"/>
    <w:rsid w:val="004A4F10"/>
    <w:rsid w:val="004A597D"/>
    <w:rsid w:val="004A61F1"/>
    <w:rsid w:val="004B06CA"/>
    <w:rsid w:val="004B07A5"/>
    <w:rsid w:val="004B0C58"/>
    <w:rsid w:val="004B292E"/>
    <w:rsid w:val="004B372C"/>
    <w:rsid w:val="004B3A02"/>
    <w:rsid w:val="004B462A"/>
    <w:rsid w:val="004B4935"/>
    <w:rsid w:val="004B4C44"/>
    <w:rsid w:val="004B58E4"/>
    <w:rsid w:val="004B67BD"/>
    <w:rsid w:val="004B7A9E"/>
    <w:rsid w:val="004C04C5"/>
    <w:rsid w:val="004C099F"/>
    <w:rsid w:val="004C1555"/>
    <w:rsid w:val="004C23DA"/>
    <w:rsid w:val="004C4128"/>
    <w:rsid w:val="004C4B93"/>
    <w:rsid w:val="004C4FC2"/>
    <w:rsid w:val="004C553A"/>
    <w:rsid w:val="004C55B4"/>
    <w:rsid w:val="004D00F4"/>
    <w:rsid w:val="004D30AB"/>
    <w:rsid w:val="004D423C"/>
    <w:rsid w:val="004D4584"/>
    <w:rsid w:val="004D5C49"/>
    <w:rsid w:val="004D5E6E"/>
    <w:rsid w:val="004D629F"/>
    <w:rsid w:val="004D7055"/>
    <w:rsid w:val="004D7AF6"/>
    <w:rsid w:val="004E11FB"/>
    <w:rsid w:val="004E147D"/>
    <w:rsid w:val="004E1C6A"/>
    <w:rsid w:val="004E25F4"/>
    <w:rsid w:val="004E2778"/>
    <w:rsid w:val="004E414D"/>
    <w:rsid w:val="004E494E"/>
    <w:rsid w:val="004E588B"/>
    <w:rsid w:val="004E7452"/>
    <w:rsid w:val="004F0542"/>
    <w:rsid w:val="004F08AB"/>
    <w:rsid w:val="004F0E89"/>
    <w:rsid w:val="004F4952"/>
    <w:rsid w:val="004F4F92"/>
    <w:rsid w:val="004F5AF6"/>
    <w:rsid w:val="004F620D"/>
    <w:rsid w:val="004F6389"/>
    <w:rsid w:val="004F6B02"/>
    <w:rsid w:val="004F6EA2"/>
    <w:rsid w:val="004F6F49"/>
    <w:rsid w:val="004F71CD"/>
    <w:rsid w:val="005005AC"/>
    <w:rsid w:val="00501C62"/>
    <w:rsid w:val="00501FFE"/>
    <w:rsid w:val="00502CE1"/>
    <w:rsid w:val="00502D47"/>
    <w:rsid w:val="00504AE7"/>
    <w:rsid w:val="00506AAD"/>
    <w:rsid w:val="005071A6"/>
    <w:rsid w:val="00510062"/>
    <w:rsid w:val="005137C5"/>
    <w:rsid w:val="005139AC"/>
    <w:rsid w:val="00515CAA"/>
    <w:rsid w:val="00516B40"/>
    <w:rsid w:val="00521FC5"/>
    <w:rsid w:val="005226E9"/>
    <w:rsid w:val="005234BC"/>
    <w:rsid w:val="00523A35"/>
    <w:rsid w:val="00523F20"/>
    <w:rsid w:val="00524201"/>
    <w:rsid w:val="00524962"/>
    <w:rsid w:val="005254F7"/>
    <w:rsid w:val="005255CF"/>
    <w:rsid w:val="0052747D"/>
    <w:rsid w:val="00530B79"/>
    <w:rsid w:val="00532601"/>
    <w:rsid w:val="00532925"/>
    <w:rsid w:val="00532D5A"/>
    <w:rsid w:val="005330D6"/>
    <w:rsid w:val="005331EA"/>
    <w:rsid w:val="00533643"/>
    <w:rsid w:val="00533A68"/>
    <w:rsid w:val="00533B32"/>
    <w:rsid w:val="00534479"/>
    <w:rsid w:val="005378BA"/>
    <w:rsid w:val="00537981"/>
    <w:rsid w:val="00537AB3"/>
    <w:rsid w:val="005418BC"/>
    <w:rsid w:val="005423A9"/>
    <w:rsid w:val="00542496"/>
    <w:rsid w:val="00544959"/>
    <w:rsid w:val="005457F6"/>
    <w:rsid w:val="00546322"/>
    <w:rsid w:val="00550246"/>
    <w:rsid w:val="00550F86"/>
    <w:rsid w:val="005526F9"/>
    <w:rsid w:val="005562A3"/>
    <w:rsid w:val="00556535"/>
    <w:rsid w:val="005566F7"/>
    <w:rsid w:val="005567EF"/>
    <w:rsid w:val="00560838"/>
    <w:rsid w:val="00560FA6"/>
    <w:rsid w:val="0056158C"/>
    <w:rsid w:val="00563A28"/>
    <w:rsid w:val="00564210"/>
    <w:rsid w:val="0056451A"/>
    <w:rsid w:val="00564A15"/>
    <w:rsid w:val="00564F6C"/>
    <w:rsid w:val="00565FEA"/>
    <w:rsid w:val="00566AF7"/>
    <w:rsid w:val="005671EC"/>
    <w:rsid w:val="00567522"/>
    <w:rsid w:val="00570589"/>
    <w:rsid w:val="00571DF0"/>
    <w:rsid w:val="00571E48"/>
    <w:rsid w:val="00572A51"/>
    <w:rsid w:val="00574A99"/>
    <w:rsid w:val="0057533C"/>
    <w:rsid w:val="00576409"/>
    <w:rsid w:val="0057715C"/>
    <w:rsid w:val="005776EC"/>
    <w:rsid w:val="00577D78"/>
    <w:rsid w:val="00582C12"/>
    <w:rsid w:val="00585FD0"/>
    <w:rsid w:val="0058659E"/>
    <w:rsid w:val="00587050"/>
    <w:rsid w:val="00587EE8"/>
    <w:rsid w:val="00590220"/>
    <w:rsid w:val="0059261E"/>
    <w:rsid w:val="005958E8"/>
    <w:rsid w:val="00596FB0"/>
    <w:rsid w:val="0059785B"/>
    <w:rsid w:val="005979AD"/>
    <w:rsid w:val="005A0427"/>
    <w:rsid w:val="005A0504"/>
    <w:rsid w:val="005A3296"/>
    <w:rsid w:val="005A38C9"/>
    <w:rsid w:val="005A3C51"/>
    <w:rsid w:val="005A4803"/>
    <w:rsid w:val="005A50B5"/>
    <w:rsid w:val="005A54A2"/>
    <w:rsid w:val="005A60E8"/>
    <w:rsid w:val="005A64A4"/>
    <w:rsid w:val="005A73DB"/>
    <w:rsid w:val="005B0B6E"/>
    <w:rsid w:val="005B3CFB"/>
    <w:rsid w:val="005B44ED"/>
    <w:rsid w:val="005B5D93"/>
    <w:rsid w:val="005B77A5"/>
    <w:rsid w:val="005B7849"/>
    <w:rsid w:val="005C0183"/>
    <w:rsid w:val="005C11EA"/>
    <w:rsid w:val="005C1BA9"/>
    <w:rsid w:val="005C2D1D"/>
    <w:rsid w:val="005C49FE"/>
    <w:rsid w:val="005C6127"/>
    <w:rsid w:val="005D0B30"/>
    <w:rsid w:val="005D1D68"/>
    <w:rsid w:val="005D1EEF"/>
    <w:rsid w:val="005D2BFD"/>
    <w:rsid w:val="005D2EE0"/>
    <w:rsid w:val="005D3D59"/>
    <w:rsid w:val="005D3E7E"/>
    <w:rsid w:val="005D3FCD"/>
    <w:rsid w:val="005D4F13"/>
    <w:rsid w:val="005D519B"/>
    <w:rsid w:val="005D64EC"/>
    <w:rsid w:val="005D72AC"/>
    <w:rsid w:val="005E0F9E"/>
    <w:rsid w:val="005E422B"/>
    <w:rsid w:val="005E6685"/>
    <w:rsid w:val="005E74BA"/>
    <w:rsid w:val="005F0244"/>
    <w:rsid w:val="005F0F77"/>
    <w:rsid w:val="005F3351"/>
    <w:rsid w:val="005F35AA"/>
    <w:rsid w:val="005F3CF0"/>
    <w:rsid w:val="005F6E32"/>
    <w:rsid w:val="005F70A5"/>
    <w:rsid w:val="00600195"/>
    <w:rsid w:val="006004DA"/>
    <w:rsid w:val="006007BF"/>
    <w:rsid w:val="00600CB0"/>
    <w:rsid w:val="00601B7E"/>
    <w:rsid w:val="00601C94"/>
    <w:rsid w:val="006021C6"/>
    <w:rsid w:val="00602AD8"/>
    <w:rsid w:val="00602FDA"/>
    <w:rsid w:val="006051A9"/>
    <w:rsid w:val="00605F22"/>
    <w:rsid w:val="00607653"/>
    <w:rsid w:val="00607FF1"/>
    <w:rsid w:val="006100C8"/>
    <w:rsid w:val="006119B7"/>
    <w:rsid w:val="00611A1E"/>
    <w:rsid w:val="00613ABD"/>
    <w:rsid w:val="00614078"/>
    <w:rsid w:val="0061442A"/>
    <w:rsid w:val="00614AA6"/>
    <w:rsid w:val="00615F04"/>
    <w:rsid w:val="006166D7"/>
    <w:rsid w:val="00617720"/>
    <w:rsid w:val="00617F9C"/>
    <w:rsid w:val="006200AC"/>
    <w:rsid w:val="006202B6"/>
    <w:rsid w:val="0062119A"/>
    <w:rsid w:val="0062163D"/>
    <w:rsid w:val="00621A3F"/>
    <w:rsid w:val="00622F0F"/>
    <w:rsid w:val="00625234"/>
    <w:rsid w:val="00625DDE"/>
    <w:rsid w:val="00626220"/>
    <w:rsid w:val="00626536"/>
    <w:rsid w:val="0062700B"/>
    <w:rsid w:val="0063061B"/>
    <w:rsid w:val="00630E36"/>
    <w:rsid w:val="00632263"/>
    <w:rsid w:val="00632DF7"/>
    <w:rsid w:val="00633A59"/>
    <w:rsid w:val="00635A35"/>
    <w:rsid w:val="006369CF"/>
    <w:rsid w:val="00636DAF"/>
    <w:rsid w:val="00637079"/>
    <w:rsid w:val="006407F6"/>
    <w:rsid w:val="00640881"/>
    <w:rsid w:val="00641949"/>
    <w:rsid w:val="00642B63"/>
    <w:rsid w:val="0064367E"/>
    <w:rsid w:val="006439FF"/>
    <w:rsid w:val="00644E41"/>
    <w:rsid w:val="0064526A"/>
    <w:rsid w:val="00645440"/>
    <w:rsid w:val="0064562A"/>
    <w:rsid w:val="006479EF"/>
    <w:rsid w:val="006521B7"/>
    <w:rsid w:val="0065419F"/>
    <w:rsid w:val="00654472"/>
    <w:rsid w:val="00654E0C"/>
    <w:rsid w:val="00655282"/>
    <w:rsid w:val="00655D88"/>
    <w:rsid w:val="00656179"/>
    <w:rsid w:val="006578E9"/>
    <w:rsid w:val="006626EF"/>
    <w:rsid w:val="00665A2F"/>
    <w:rsid w:val="00666389"/>
    <w:rsid w:val="00667000"/>
    <w:rsid w:val="00667811"/>
    <w:rsid w:val="006702B0"/>
    <w:rsid w:val="00670DEF"/>
    <w:rsid w:val="00672F10"/>
    <w:rsid w:val="006745A5"/>
    <w:rsid w:val="00675128"/>
    <w:rsid w:val="00675777"/>
    <w:rsid w:val="006757E9"/>
    <w:rsid w:val="006766AB"/>
    <w:rsid w:val="0067791C"/>
    <w:rsid w:val="00683B2F"/>
    <w:rsid w:val="00685C74"/>
    <w:rsid w:val="006869E5"/>
    <w:rsid w:val="00686C85"/>
    <w:rsid w:val="006900B4"/>
    <w:rsid w:val="00690F0B"/>
    <w:rsid w:val="006926F5"/>
    <w:rsid w:val="00693546"/>
    <w:rsid w:val="006940B4"/>
    <w:rsid w:val="00694508"/>
    <w:rsid w:val="006945C1"/>
    <w:rsid w:val="0069527B"/>
    <w:rsid w:val="006956E0"/>
    <w:rsid w:val="006966B3"/>
    <w:rsid w:val="00697BC6"/>
    <w:rsid w:val="006A0145"/>
    <w:rsid w:val="006A0CF4"/>
    <w:rsid w:val="006A1127"/>
    <w:rsid w:val="006A24D0"/>
    <w:rsid w:val="006A4AC6"/>
    <w:rsid w:val="006A51A5"/>
    <w:rsid w:val="006A5E41"/>
    <w:rsid w:val="006A5F2C"/>
    <w:rsid w:val="006A63D0"/>
    <w:rsid w:val="006A7740"/>
    <w:rsid w:val="006B0651"/>
    <w:rsid w:val="006B341B"/>
    <w:rsid w:val="006B4693"/>
    <w:rsid w:val="006B5C3B"/>
    <w:rsid w:val="006B7216"/>
    <w:rsid w:val="006C0582"/>
    <w:rsid w:val="006C0DD6"/>
    <w:rsid w:val="006C1912"/>
    <w:rsid w:val="006C2F4C"/>
    <w:rsid w:val="006C30D0"/>
    <w:rsid w:val="006C3C6E"/>
    <w:rsid w:val="006C3F7C"/>
    <w:rsid w:val="006C51F4"/>
    <w:rsid w:val="006C57CE"/>
    <w:rsid w:val="006D19BF"/>
    <w:rsid w:val="006D2686"/>
    <w:rsid w:val="006D28B0"/>
    <w:rsid w:val="006D53CA"/>
    <w:rsid w:val="006D5724"/>
    <w:rsid w:val="006D5DBE"/>
    <w:rsid w:val="006D6998"/>
    <w:rsid w:val="006D7106"/>
    <w:rsid w:val="006E008A"/>
    <w:rsid w:val="006E0286"/>
    <w:rsid w:val="006E0770"/>
    <w:rsid w:val="006E0CCF"/>
    <w:rsid w:val="006E1F5B"/>
    <w:rsid w:val="006E2645"/>
    <w:rsid w:val="006E3BC3"/>
    <w:rsid w:val="006E4A38"/>
    <w:rsid w:val="006E534F"/>
    <w:rsid w:val="006E5E00"/>
    <w:rsid w:val="006E7739"/>
    <w:rsid w:val="006F04C9"/>
    <w:rsid w:val="006F0FF3"/>
    <w:rsid w:val="006F17C5"/>
    <w:rsid w:val="006F20E5"/>
    <w:rsid w:val="006F25C4"/>
    <w:rsid w:val="006F3022"/>
    <w:rsid w:val="006F4537"/>
    <w:rsid w:val="006F6140"/>
    <w:rsid w:val="006F7F3B"/>
    <w:rsid w:val="00701314"/>
    <w:rsid w:val="00702398"/>
    <w:rsid w:val="00702B13"/>
    <w:rsid w:val="00703876"/>
    <w:rsid w:val="00704FDE"/>
    <w:rsid w:val="007106A4"/>
    <w:rsid w:val="0071255C"/>
    <w:rsid w:val="0071294A"/>
    <w:rsid w:val="0071367B"/>
    <w:rsid w:val="0071391C"/>
    <w:rsid w:val="00713A31"/>
    <w:rsid w:val="00714A78"/>
    <w:rsid w:val="00716760"/>
    <w:rsid w:val="00720303"/>
    <w:rsid w:val="007205CE"/>
    <w:rsid w:val="007248FB"/>
    <w:rsid w:val="00725F5A"/>
    <w:rsid w:val="0072682B"/>
    <w:rsid w:val="00727118"/>
    <w:rsid w:val="00727876"/>
    <w:rsid w:val="00730807"/>
    <w:rsid w:val="00730906"/>
    <w:rsid w:val="0073185F"/>
    <w:rsid w:val="00732071"/>
    <w:rsid w:val="007321C7"/>
    <w:rsid w:val="00735073"/>
    <w:rsid w:val="007352CC"/>
    <w:rsid w:val="00735904"/>
    <w:rsid w:val="007361A1"/>
    <w:rsid w:val="00736654"/>
    <w:rsid w:val="00736EF4"/>
    <w:rsid w:val="00737011"/>
    <w:rsid w:val="00737102"/>
    <w:rsid w:val="0073771A"/>
    <w:rsid w:val="007378AB"/>
    <w:rsid w:val="00737D32"/>
    <w:rsid w:val="00741BAE"/>
    <w:rsid w:val="0074246D"/>
    <w:rsid w:val="00743C74"/>
    <w:rsid w:val="0074489A"/>
    <w:rsid w:val="007452D6"/>
    <w:rsid w:val="00745695"/>
    <w:rsid w:val="00746407"/>
    <w:rsid w:val="007467C5"/>
    <w:rsid w:val="00747795"/>
    <w:rsid w:val="00747798"/>
    <w:rsid w:val="007506ED"/>
    <w:rsid w:val="00752336"/>
    <w:rsid w:val="007529D2"/>
    <w:rsid w:val="00752A91"/>
    <w:rsid w:val="00753323"/>
    <w:rsid w:val="00753C8D"/>
    <w:rsid w:val="007547E6"/>
    <w:rsid w:val="00754830"/>
    <w:rsid w:val="00755F88"/>
    <w:rsid w:val="00757883"/>
    <w:rsid w:val="007636C5"/>
    <w:rsid w:val="00763B7F"/>
    <w:rsid w:val="007662FD"/>
    <w:rsid w:val="0076651D"/>
    <w:rsid w:val="00766EF5"/>
    <w:rsid w:val="00774472"/>
    <w:rsid w:val="0077467B"/>
    <w:rsid w:val="00777BD7"/>
    <w:rsid w:val="00777C09"/>
    <w:rsid w:val="00780F4E"/>
    <w:rsid w:val="007811D9"/>
    <w:rsid w:val="0078151E"/>
    <w:rsid w:val="00781BC2"/>
    <w:rsid w:val="00781EE2"/>
    <w:rsid w:val="00782307"/>
    <w:rsid w:val="007836E4"/>
    <w:rsid w:val="007871C7"/>
    <w:rsid w:val="00791141"/>
    <w:rsid w:val="0079265A"/>
    <w:rsid w:val="00792790"/>
    <w:rsid w:val="00792FAA"/>
    <w:rsid w:val="00796C23"/>
    <w:rsid w:val="007A46D6"/>
    <w:rsid w:val="007A5280"/>
    <w:rsid w:val="007A5E1D"/>
    <w:rsid w:val="007A61A9"/>
    <w:rsid w:val="007A6240"/>
    <w:rsid w:val="007A698E"/>
    <w:rsid w:val="007A723F"/>
    <w:rsid w:val="007A72D1"/>
    <w:rsid w:val="007A7511"/>
    <w:rsid w:val="007A771D"/>
    <w:rsid w:val="007B0214"/>
    <w:rsid w:val="007B031E"/>
    <w:rsid w:val="007B0B34"/>
    <w:rsid w:val="007B24CD"/>
    <w:rsid w:val="007B371A"/>
    <w:rsid w:val="007B5FF2"/>
    <w:rsid w:val="007B7204"/>
    <w:rsid w:val="007B7695"/>
    <w:rsid w:val="007B7CF8"/>
    <w:rsid w:val="007C4053"/>
    <w:rsid w:val="007C46B8"/>
    <w:rsid w:val="007C5053"/>
    <w:rsid w:val="007C59F2"/>
    <w:rsid w:val="007C6B1F"/>
    <w:rsid w:val="007C6F9C"/>
    <w:rsid w:val="007C71A7"/>
    <w:rsid w:val="007C79AE"/>
    <w:rsid w:val="007C79FE"/>
    <w:rsid w:val="007D0C62"/>
    <w:rsid w:val="007D1507"/>
    <w:rsid w:val="007D2335"/>
    <w:rsid w:val="007D4FB6"/>
    <w:rsid w:val="007D4FD8"/>
    <w:rsid w:val="007D5803"/>
    <w:rsid w:val="007D64BC"/>
    <w:rsid w:val="007E2082"/>
    <w:rsid w:val="007E2394"/>
    <w:rsid w:val="007E2B4F"/>
    <w:rsid w:val="007E2C33"/>
    <w:rsid w:val="007E4AF8"/>
    <w:rsid w:val="007E629D"/>
    <w:rsid w:val="007E65BE"/>
    <w:rsid w:val="007E7478"/>
    <w:rsid w:val="007E7A25"/>
    <w:rsid w:val="007F1370"/>
    <w:rsid w:val="007F3D26"/>
    <w:rsid w:val="007F464D"/>
    <w:rsid w:val="007F5596"/>
    <w:rsid w:val="007F6095"/>
    <w:rsid w:val="007F6B4F"/>
    <w:rsid w:val="007F70EA"/>
    <w:rsid w:val="0080084E"/>
    <w:rsid w:val="00800BB1"/>
    <w:rsid w:val="00801FB5"/>
    <w:rsid w:val="00802CEF"/>
    <w:rsid w:val="008030E3"/>
    <w:rsid w:val="00804DDA"/>
    <w:rsid w:val="0080644F"/>
    <w:rsid w:val="00806DC7"/>
    <w:rsid w:val="0080749E"/>
    <w:rsid w:val="008106A0"/>
    <w:rsid w:val="0081160B"/>
    <w:rsid w:val="00811C08"/>
    <w:rsid w:val="00812521"/>
    <w:rsid w:val="00813D24"/>
    <w:rsid w:val="00814FDC"/>
    <w:rsid w:val="0081506C"/>
    <w:rsid w:val="00816648"/>
    <w:rsid w:val="0081711C"/>
    <w:rsid w:val="00817C8A"/>
    <w:rsid w:val="00820930"/>
    <w:rsid w:val="008219EF"/>
    <w:rsid w:val="0082269E"/>
    <w:rsid w:val="008226E5"/>
    <w:rsid w:val="008231F6"/>
    <w:rsid w:val="008245A0"/>
    <w:rsid w:val="008249D7"/>
    <w:rsid w:val="00825334"/>
    <w:rsid w:val="00825EC8"/>
    <w:rsid w:val="00826513"/>
    <w:rsid w:val="008268FF"/>
    <w:rsid w:val="008319FF"/>
    <w:rsid w:val="00831A25"/>
    <w:rsid w:val="0083207F"/>
    <w:rsid w:val="00833152"/>
    <w:rsid w:val="00835626"/>
    <w:rsid w:val="00837545"/>
    <w:rsid w:val="008404E0"/>
    <w:rsid w:val="008405B8"/>
    <w:rsid w:val="008407D9"/>
    <w:rsid w:val="00840AC4"/>
    <w:rsid w:val="008442F2"/>
    <w:rsid w:val="00844EA8"/>
    <w:rsid w:val="008507CC"/>
    <w:rsid w:val="0085080E"/>
    <w:rsid w:val="00850D26"/>
    <w:rsid w:val="00852300"/>
    <w:rsid w:val="00852CE2"/>
    <w:rsid w:val="008538D0"/>
    <w:rsid w:val="00853AF3"/>
    <w:rsid w:val="00853CA6"/>
    <w:rsid w:val="00855C61"/>
    <w:rsid w:val="00856065"/>
    <w:rsid w:val="00857844"/>
    <w:rsid w:val="00860525"/>
    <w:rsid w:val="00860EE1"/>
    <w:rsid w:val="00862048"/>
    <w:rsid w:val="00862EA5"/>
    <w:rsid w:val="00864289"/>
    <w:rsid w:val="00864CB6"/>
    <w:rsid w:val="00865ECC"/>
    <w:rsid w:val="0086616D"/>
    <w:rsid w:val="0086725C"/>
    <w:rsid w:val="0086779E"/>
    <w:rsid w:val="008679A5"/>
    <w:rsid w:val="00870BBF"/>
    <w:rsid w:val="00871946"/>
    <w:rsid w:val="00872357"/>
    <w:rsid w:val="008731C1"/>
    <w:rsid w:val="008735F0"/>
    <w:rsid w:val="00873C6C"/>
    <w:rsid w:val="00874B61"/>
    <w:rsid w:val="008761FC"/>
    <w:rsid w:val="008774A6"/>
    <w:rsid w:val="0087790D"/>
    <w:rsid w:val="00877C32"/>
    <w:rsid w:val="0088045A"/>
    <w:rsid w:val="008826C7"/>
    <w:rsid w:val="00886B03"/>
    <w:rsid w:val="00886D10"/>
    <w:rsid w:val="008872C9"/>
    <w:rsid w:val="0088735E"/>
    <w:rsid w:val="0088736E"/>
    <w:rsid w:val="008901CF"/>
    <w:rsid w:val="00890D1D"/>
    <w:rsid w:val="00890FEB"/>
    <w:rsid w:val="00891D48"/>
    <w:rsid w:val="00893AE9"/>
    <w:rsid w:val="008941BC"/>
    <w:rsid w:val="00894FF3"/>
    <w:rsid w:val="008955E3"/>
    <w:rsid w:val="00896686"/>
    <w:rsid w:val="00896A2B"/>
    <w:rsid w:val="0089781A"/>
    <w:rsid w:val="008A0EB1"/>
    <w:rsid w:val="008A145C"/>
    <w:rsid w:val="008A1E08"/>
    <w:rsid w:val="008A23F2"/>
    <w:rsid w:val="008A3395"/>
    <w:rsid w:val="008A6606"/>
    <w:rsid w:val="008A6DA3"/>
    <w:rsid w:val="008A7F59"/>
    <w:rsid w:val="008B4052"/>
    <w:rsid w:val="008B52D6"/>
    <w:rsid w:val="008B5D2E"/>
    <w:rsid w:val="008B6C6C"/>
    <w:rsid w:val="008B7902"/>
    <w:rsid w:val="008B7DCE"/>
    <w:rsid w:val="008C147E"/>
    <w:rsid w:val="008C32B9"/>
    <w:rsid w:val="008C488E"/>
    <w:rsid w:val="008C56B7"/>
    <w:rsid w:val="008C6036"/>
    <w:rsid w:val="008C6539"/>
    <w:rsid w:val="008C72F2"/>
    <w:rsid w:val="008D0A7A"/>
    <w:rsid w:val="008D1232"/>
    <w:rsid w:val="008D28AC"/>
    <w:rsid w:val="008D3942"/>
    <w:rsid w:val="008D7FC2"/>
    <w:rsid w:val="008E08AA"/>
    <w:rsid w:val="008E14DF"/>
    <w:rsid w:val="008E1F4A"/>
    <w:rsid w:val="008E2229"/>
    <w:rsid w:val="008E30E8"/>
    <w:rsid w:val="008E43A4"/>
    <w:rsid w:val="008E443B"/>
    <w:rsid w:val="008E4F78"/>
    <w:rsid w:val="008E4FF0"/>
    <w:rsid w:val="008E59C0"/>
    <w:rsid w:val="008E5F86"/>
    <w:rsid w:val="008E62B3"/>
    <w:rsid w:val="008E6A73"/>
    <w:rsid w:val="008F03AF"/>
    <w:rsid w:val="008F3804"/>
    <w:rsid w:val="008F59BD"/>
    <w:rsid w:val="008F67FF"/>
    <w:rsid w:val="008F704A"/>
    <w:rsid w:val="00900899"/>
    <w:rsid w:val="00900F26"/>
    <w:rsid w:val="00901331"/>
    <w:rsid w:val="00901FB0"/>
    <w:rsid w:val="00902780"/>
    <w:rsid w:val="00903DD2"/>
    <w:rsid w:val="00911F48"/>
    <w:rsid w:val="009122EB"/>
    <w:rsid w:val="0091311A"/>
    <w:rsid w:val="00915531"/>
    <w:rsid w:val="00915FC2"/>
    <w:rsid w:val="009161C9"/>
    <w:rsid w:val="0091634D"/>
    <w:rsid w:val="00917963"/>
    <w:rsid w:val="009201B5"/>
    <w:rsid w:val="0092063D"/>
    <w:rsid w:val="009216CD"/>
    <w:rsid w:val="00921CD4"/>
    <w:rsid w:val="00921D27"/>
    <w:rsid w:val="00921EB5"/>
    <w:rsid w:val="0092386D"/>
    <w:rsid w:val="00924559"/>
    <w:rsid w:val="009248B9"/>
    <w:rsid w:val="0092491E"/>
    <w:rsid w:val="00930270"/>
    <w:rsid w:val="00932A87"/>
    <w:rsid w:val="009346D4"/>
    <w:rsid w:val="00935577"/>
    <w:rsid w:val="00936B8C"/>
    <w:rsid w:val="00940E4D"/>
    <w:rsid w:val="009427EC"/>
    <w:rsid w:val="009429F6"/>
    <w:rsid w:val="009454C6"/>
    <w:rsid w:val="009467D7"/>
    <w:rsid w:val="00951414"/>
    <w:rsid w:val="00954668"/>
    <w:rsid w:val="00954BB0"/>
    <w:rsid w:val="0095530F"/>
    <w:rsid w:val="009603A5"/>
    <w:rsid w:val="009654FA"/>
    <w:rsid w:val="0096697B"/>
    <w:rsid w:val="00967C0B"/>
    <w:rsid w:val="00971189"/>
    <w:rsid w:val="00971A8B"/>
    <w:rsid w:val="00971E7B"/>
    <w:rsid w:val="0097265B"/>
    <w:rsid w:val="009729D8"/>
    <w:rsid w:val="00974D86"/>
    <w:rsid w:val="00975940"/>
    <w:rsid w:val="00977BD4"/>
    <w:rsid w:val="009824E4"/>
    <w:rsid w:val="00983375"/>
    <w:rsid w:val="00983430"/>
    <w:rsid w:val="00984947"/>
    <w:rsid w:val="00984E69"/>
    <w:rsid w:val="00986023"/>
    <w:rsid w:val="0098682A"/>
    <w:rsid w:val="009879CA"/>
    <w:rsid w:val="0099000D"/>
    <w:rsid w:val="0099026A"/>
    <w:rsid w:val="00990B5E"/>
    <w:rsid w:val="00990D0E"/>
    <w:rsid w:val="00991787"/>
    <w:rsid w:val="009922C8"/>
    <w:rsid w:val="009925BD"/>
    <w:rsid w:val="0099281B"/>
    <w:rsid w:val="00992F3A"/>
    <w:rsid w:val="0099407A"/>
    <w:rsid w:val="0099443B"/>
    <w:rsid w:val="0099472F"/>
    <w:rsid w:val="00996170"/>
    <w:rsid w:val="00996F8F"/>
    <w:rsid w:val="0099766B"/>
    <w:rsid w:val="00997D95"/>
    <w:rsid w:val="009A01F3"/>
    <w:rsid w:val="009A1501"/>
    <w:rsid w:val="009A1A4A"/>
    <w:rsid w:val="009A401C"/>
    <w:rsid w:val="009A7E75"/>
    <w:rsid w:val="009B1A09"/>
    <w:rsid w:val="009B3126"/>
    <w:rsid w:val="009B36E9"/>
    <w:rsid w:val="009B3C5B"/>
    <w:rsid w:val="009B44A1"/>
    <w:rsid w:val="009B5123"/>
    <w:rsid w:val="009B6A01"/>
    <w:rsid w:val="009B6B26"/>
    <w:rsid w:val="009B71C4"/>
    <w:rsid w:val="009B74BA"/>
    <w:rsid w:val="009C018C"/>
    <w:rsid w:val="009C0EDC"/>
    <w:rsid w:val="009C12C7"/>
    <w:rsid w:val="009C1650"/>
    <w:rsid w:val="009C1724"/>
    <w:rsid w:val="009C2524"/>
    <w:rsid w:val="009C2F1C"/>
    <w:rsid w:val="009C3315"/>
    <w:rsid w:val="009C3EFD"/>
    <w:rsid w:val="009C4834"/>
    <w:rsid w:val="009C5AB1"/>
    <w:rsid w:val="009C67CF"/>
    <w:rsid w:val="009D14B1"/>
    <w:rsid w:val="009D259F"/>
    <w:rsid w:val="009D264E"/>
    <w:rsid w:val="009D2E04"/>
    <w:rsid w:val="009D3A8F"/>
    <w:rsid w:val="009D3E93"/>
    <w:rsid w:val="009D56F1"/>
    <w:rsid w:val="009D59EB"/>
    <w:rsid w:val="009D6774"/>
    <w:rsid w:val="009D6DF0"/>
    <w:rsid w:val="009D6F7C"/>
    <w:rsid w:val="009E01C2"/>
    <w:rsid w:val="009E05D8"/>
    <w:rsid w:val="009E1D56"/>
    <w:rsid w:val="009E37DE"/>
    <w:rsid w:val="009E4C19"/>
    <w:rsid w:val="009E5CE0"/>
    <w:rsid w:val="009E6465"/>
    <w:rsid w:val="009E695E"/>
    <w:rsid w:val="009F21DB"/>
    <w:rsid w:val="009F2C39"/>
    <w:rsid w:val="009F375B"/>
    <w:rsid w:val="009F3A75"/>
    <w:rsid w:val="009F6776"/>
    <w:rsid w:val="009F6D61"/>
    <w:rsid w:val="00A0289C"/>
    <w:rsid w:val="00A02F0D"/>
    <w:rsid w:val="00A03EAF"/>
    <w:rsid w:val="00A047E4"/>
    <w:rsid w:val="00A06B39"/>
    <w:rsid w:val="00A11F42"/>
    <w:rsid w:val="00A11F8B"/>
    <w:rsid w:val="00A13B3A"/>
    <w:rsid w:val="00A14901"/>
    <w:rsid w:val="00A15CD0"/>
    <w:rsid w:val="00A170EB"/>
    <w:rsid w:val="00A17CE3"/>
    <w:rsid w:val="00A17F0A"/>
    <w:rsid w:val="00A20260"/>
    <w:rsid w:val="00A21776"/>
    <w:rsid w:val="00A227F8"/>
    <w:rsid w:val="00A2740A"/>
    <w:rsid w:val="00A30212"/>
    <w:rsid w:val="00A30C8C"/>
    <w:rsid w:val="00A31067"/>
    <w:rsid w:val="00A311C7"/>
    <w:rsid w:val="00A317CB"/>
    <w:rsid w:val="00A33EC5"/>
    <w:rsid w:val="00A34716"/>
    <w:rsid w:val="00A34A12"/>
    <w:rsid w:val="00A3570C"/>
    <w:rsid w:val="00A35965"/>
    <w:rsid w:val="00A36C2D"/>
    <w:rsid w:val="00A400B9"/>
    <w:rsid w:val="00A40313"/>
    <w:rsid w:val="00A403E2"/>
    <w:rsid w:val="00A405FB"/>
    <w:rsid w:val="00A40D1C"/>
    <w:rsid w:val="00A41DA9"/>
    <w:rsid w:val="00A41F2D"/>
    <w:rsid w:val="00A42331"/>
    <w:rsid w:val="00A42F37"/>
    <w:rsid w:val="00A42FE6"/>
    <w:rsid w:val="00A43B4B"/>
    <w:rsid w:val="00A43E3B"/>
    <w:rsid w:val="00A45434"/>
    <w:rsid w:val="00A454DB"/>
    <w:rsid w:val="00A47869"/>
    <w:rsid w:val="00A504B6"/>
    <w:rsid w:val="00A51B67"/>
    <w:rsid w:val="00A52A13"/>
    <w:rsid w:val="00A52D2A"/>
    <w:rsid w:val="00A53097"/>
    <w:rsid w:val="00A53FAA"/>
    <w:rsid w:val="00A5681E"/>
    <w:rsid w:val="00A56F0D"/>
    <w:rsid w:val="00A6095A"/>
    <w:rsid w:val="00A60AD9"/>
    <w:rsid w:val="00A615C2"/>
    <w:rsid w:val="00A61652"/>
    <w:rsid w:val="00A61681"/>
    <w:rsid w:val="00A61784"/>
    <w:rsid w:val="00A6186E"/>
    <w:rsid w:val="00A62387"/>
    <w:rsid w:val="00A63C46"/>
    <w:rsid w:val="00A63F7B"/>
    <w:rsid w:val="00A65410"/>
    <w:rsid w:val="00A659A9"/>
    <w:rsid w:val="00A66786"/>
    <w:rsid w:val="00A712EF"/>
    <w:rsid w:val="00A7243C"/>
    <w:rsid w:val="00A72AA2"/>
    <w:rsid w:val="00A72F4C"/>
    <w:rsid w:val="00A73547"/>
    <w:rsid w:val="00A74D5E"/>
    <w:rsid w:val="00A75F53"/>
    <w:rsid w:val="00A8146E"/>
    <w:rsid w:val="00A81555"/>
    <w:rsid w:val="00A81AB3"/>
    <w:rsid w:val="00A82733"/>
    <w:rsid w:val="00A82DE5"/>
    <w:rsid w:val="00A83F37"/>
    <w:rsid w:val="00A86317"/>
    <w:rsid w:val="00A8654C"/>
    <w:rsid w:val="00A87E03"/>
    <w:rsid w:val="00A90029"/>
    <w:rsid w:val="00A906F8"/>
    <w:rsid w:val="00A90B1A"/>
    <w:rsid w:val="00A93A0E"/>
    <w:rsid w:val="00A948B8"/>
    <w:rsid w:val="00A954A3"/>
    <w:rsid w:val="00A96EA0"/>
    <w:rsid w:val="00A97BD6"/>
    <w:rsid w:val="00AA14AF"/>
    <w:rsid w:val="00AA1FC8"/>
    <w:rsid w:val="00AA2C24"/>
    <w:rsid w:val="00AA368C"/>
    <w:rsid w:val="00AA3D06"/>
    <w:rsid w:val="00AA3D19"/>
    <w:rsid w:val="00AA3E8F"/>
    <w:rsid w:val="00AA4A2D"/>
    <w:rsid w:val="00AA4F52"/>
    <w:rsid w:val="00AA601F"/>
    <w:rsid w:val="00AA6185"/>
    <w:rsid w:val="00AA74E3"/>
    <w:rsid w:val="00AA7D8E"/>
    <w:rsid w:val="00AB3E2B"/>
    <w:rsid w:val="00AB409E"/>
    <w:rsid w:val="00AB4F28"/>
    <w:rsid w:val="00AB5CE2"/>
    <w:rsid w:val="00AC36CE"/>
    <w:rsid w:val="00AC3E7B"/>
    <w:rsid w:val="00AC432C"/>
    <w:rsid w:val="00AC7226"/>
    <w:rsid w:val="00AC7313"/>
    <w:rsid w:val="00AD20F9"/>
    <w:rsid w:val="00AD22EE"/>
    <w:rsid w:val="00AD23CD"/>
    <w:rsid w:val="00AD3960"/>
    <w:rsid w:val="00AD54BC"/>
    <w:rsid w:val="00AD61CC"/>
    <w:rsid w:val="00AD7A33"/>
    <w:rsid w:val="00AE0156"/>
    <w:rsid w:val="00AE17EC"/>
    <w:rsid w:val="00AE2014"/>
    <w:rsid w:val="00AE2135"/>
    <w:rsid w:val="00AE31CC"/>
    <w:rsid w:val="00AE45FF"/>
    <w:rsid w:val="00AE5C51"/>
    <w:rsid w:val="00AE6609"/>
    <w:rsid w:val="00AE682F"/>
    <w:rsid w:val="00AE7907"/>
    <w:rsid w:val="00AE7D7D"/>
    <w:rsid w:val="00AF00E7"/>
    <w:rsid w:val="00AF133D"/>
    <w:rsid w:val="00AF37CA"/>
    <w:rsid w:val="00AF37D4"/>
    <w:rsid w:val="00AF5155"/>
    <w:rsid w:val="00AF51FF"/>
    <w:rsid w:val="00AF5971"/>
    <w:rsid w:val="00AF7D58"/>
    <w:rsid w:val="00B00C62"/>
    <w:rsid w:val="00B02F97"/>
    <w:rsid w:val="00B03FB2"/>
    <w:rsid w:val="00B05900"/>
    <w:rsid w:val="00B0606B"/>
    <w:rsid w:val="00B062E1"/>
    <w:rsid w:val="00B06D83"/>
    <w:rsid w:val="00B06DE2"/>
    <w:rsid w:val="00B1007E"/>
    <w:rsid w:val="00B117AD"/>
    <w:rsid w:val="00B14AF4"/>
    <w:rsid w:val="00B15062"/>
    <w:rsid w:val="00B15328"/>
    <w:rsid w:val="00B17929"/>
    <w:rsid w:val="00B17AE0"/>
    <w:rsid w:val="00B20944"/>
    <w:rsid w:val="00B21D60"/>
    <w:rsid w:val="00B220AE"/>
    <w:rsid w:val="00B22763"/>
    <w:rsid w:val="00B22792"/>
    <w:rsid w:val="00B23086"/>
    <w:rsid w:val="00B230D8"/>
    <w:rsid w:val="00B239E8"/>
    <w:rsid w:val="00B25078"/>
    <w:rsid w:val="00B261A5"/>
    <w:rsid w:val="00B26485"/>
    <w:rsid w:val="00B270BB"/>
    <w:rsid w:val="00B30BE4"/>
    <w:rsid w:val="00B3257A"/>
    <w:rsid w:val="00B33FE8"/>
    <w:rsid w:val="00B34B55"/>
    <w:rsid w:val="00B34BAA"/>
    <w:rsid w:val="00B35FF1"/>
    <w:rsid w:val="00B367A7"/>
    <w:rsid w:val="00B368A8"/>
    <w:rsid w:val="00B36F28"/>
    <w:rsid w:val="00B3708A"/>
    <w:rsid w:val="00B3772C"/>
    <w:rsid w:val="00B3787E"/>
    <w:rsid w:val="00B42280"/>
    <w:rsid w:val="00B4242B"/>
    <w:rsid w:val="00B43187"/>
    <w:rsid w:val="00B43356"/>
    <w:rsid w:val="00B44B59"/>
    <w:rsid w:val="00B474F0"/>
    <w:rsid w:val="00B47CCD"/>
    <w:rsid w:val="00B5099E"/>
    <w:rsid w:val="00B511F3"/>
    <w:rsid w:val="00B5128E"/>
    <w:rsid w:val="00B514BB"/>
    <w:rsid w:val="00B51C43"/>
    <w:rsid w:val="00B5399E"/>
    <w:rsid w:val="00B539C5"/>
    <w:rsid w:val="00B53A65"/>
    <w:rsid w:val="00B53ADB"/>
    <w:rsid w:val="00B53EA1"/>
    <w:rsid w:val="00B557C5"/>
    <w:rsid w:val="00B55E56"/>
    <w:rsid w:val="00B62382"/>
    <w:rsid w:val="00B623EF"/>
    <w:rsid w:val="00B66093"/>
    <w:rsid w:val="00B6724A"/>
    <w:rsid w:val="00B672DA"/>
    <w:rsid w:val="00B714D6"/>
    <w:rsid w:val="00B726D7"/>
    <w:rsid w:val="00B72A54"/>
    <w:rsid w:val="00B74B3B"/>
    <w:rsid w:val="00B7608F"/>
    <w:rsid w:val="00B76976"/>
    <w:rsid w:val="00B76986"/>
    <w:rsid w:val="00B7789E"/>
    <w:rsid w:val="00B80EBD"/>
    <w:rsid w:val="00B81ABC"/>
    <w:rsid w:val="00B82656"/>
    <w:rsid w:val="00B83476"/>
    <w:rsid w:val="00B8382A"/>
    <w:rsid w:val="00B844C9"/>
    <w:rsid w:val="00B850B1"/>
    <w:rsid w:val="00B8587E"/>
    <w:rsid w:val="00B859BD"/>
    <w:rsid w:val="00B85D3A"/>
    <w:rsid w:val="00B867F8"/>
    <w:rsid w:val="00B871BC"/>
    <w:rsid w:val="00B873B0"/>
    <w:rsid w:val="00B9052D"/>
    <w:rsid w:val="00B926EE"/>
    <w:rsid w:val="00B932D7"/>
    <w:rsid w:val="00B943A8"/>
    <w:rsid w:val="00B946AF"/>
    <w:rsid w:val="00B9483C"/>
    <w:rsid w:val="00B956FD"/>
    <w:rsid w:val="00B95D2B"/>
    <w:rsid w:val="00B9638C"/>
    <w:rsid w:val="00B96798"/>
    <w:rsid w:val="00BA1126"/>
    <w:rsid w:val="00BA1410"/>
    <w:rsid w:val="00BA1E0F"/>
    <w:rsid w:val="00BA2709"/>
    <w:rsid w:val="00BA2E73"/>
    <w:rsid w:val="00BA437D"/>
    <w:rsid w:val="00BA4D48"/>
    <w:rsid w:val="00BA516B"/>
    <w:rsid w:val="00BA64DC"/>
    <w:rsid w:val="00BA79D3"/>
    <w:rsid w:val="00BA7EB9"/>
    <w:rsid w:val="00BA7EF1"/>
    <w:rsid w:val="00BB1D73"/>
    <w:rsid w:val="00BB25E3"/>
    <w:rsid w:val="00BB26C4"/>
    <w:rsid w:val="00BB26F2"/>
    <w:rsid w:val="00BB3737"/>
    <w:rsid w:val="00BB5489"/>
    <w:rsid w:val="00BB598E"/>
    <w:rsid w:val="00BB6DFD"/>
    <w:rsid w:val="00BB77C1"/>
    <w:rsid w:val="00BC0183"/>
    <w:rsid w:val="00BC13D0"/>
    <w:rsid w:val="00BC1471"/>
    <w:rsid w:val="00BC1680"/>
    <w:rsid w:val="00BC1753"/>
    <w:rsid w:val="00BC1754"/>
    <w:rsid w:val="00BC1C18"/>
    <w:rsid w:val="00BC2C84"/>
    <w:rsid w:val="00BC2EFF"/>
    <w:rsid w:val="00BC2F2A"/>
    <w:rsid w:val="00BC4742"/>
    <w:rsid w:val="00BD0085"/>
    <w:rsid w:val="00BD1F64"/>
    <w:rsid w:val="00BD202E"/>
    <w:rsid w:val="00BD24EE"/>
    <w:rsid w:val="00BD40DD"/>
    <w:rsid w:val="00BD411A"/>
    <w:rsid w:val="00BD655C"/>
    <w:rsid w:val="00BD6D3B"/>
    <w:rsid w:val="00BD714C"/>
    <w:rsid w:val="00BE26E4"/>
    <w:rsid w:val="00BE27DC"/>
    <w:rsid w:val="00BE2B60"/>
    <w:rsid w:val="00BE2C75"/>
    <w:rsid w:val="00BE344C"/>
    <w:rsid w:val="00BE4214"/>
    <w:rsid w:val="00BE6176"/>
    <w:rsid w:val="00BE75E3"/>
    <w:rsid w:val="00BE7777"/>
    <w:rsid w:val="00BE7FF0"/>
    <w:rsid w:val="00BF12FA"/>
    <w:rsid w:val="00BF1FD9"/>
    <w:rsid w:val="00BF2C9E"/>
    <w:rsid w:val="00BF3309"/>
    <w:rsid w:val="00BF3956"/>
    <w:rsid w:val="00C005DA"/>
    <w:rsid w:val="00C0249C"/>
    <w:rsid w:val="00C04CBC"/>
    <w:rsid w:val="00C04CBD"/>
    <w:rsid w:val="00C05689"/>
    <w:rsid w:val="00C06719"/>
    <w:rsid w:val="00C06F9A"/>
    <w:rsid w:val="00C07761"/>
    <w:rsid w:val="00C1016D"/>
    <w:rsid w:val="00C12045"/>
    <w:rsid w:val="00C132FF"/>
    <w:rsid w:val="00C1420C"/>
    <w:rsid w:val="00C14500"/>
    <w:rsid w:val="00C15D76"/>
    <w:rsid w:val="00C15E03"/>
    <w:rsid w:val="00C161ED"/>
    <w:rsid w:val="00C16A6D"/>
    <w:rsid w:val="00C200DA"/>
    <w:rsid w:val="00C23782"/>
    <w:rsid w:val="00C237D5"/>
    <w:rsid w:val="00C23CC3"/>
    <w:rsid w:val="00C2624E"/>
    <w:rsid w:val="00C26B24"/>
    <w:rsid w:val="00C30EE1"/>
    <w:rsid w:val="00C30F00"/>
    <w:rsid w:val="00C31855"/>
    <w:rsid w:val="00C33227"/>
    <w:rsid w:val="00C3371E"/>
    <w:rsid w:val="00C356E6"/>
    <w:rsid w:val="00C3582A"/>
    <w:rsid w:val="00C36267"/>
    <w:rsid w:val="00C37181"/>
    <w:rsid w:val="00C3758D"/>
    <w:rsid w:val="00C4234A"/>
    <w:rsid w:val="00C42397"/>
    <w:rsid w:val="00C42CDA"/>
    <w:rsid w:val="00C441D4"/>
    <w:rsid w:val="00C4487F"/>
    <w:rsid w:val="00C450AB"/>
    <w:rsid w:val="00C4586D"/>
    <w:rsid w:val="00C50051"/>
    <w:rsid w:val="00C54C5C"/>
    <w:rsid w:val="00C56DF9"/>
    <w:rsid w:val="00C57550"/>
    <w:rsid w:val="00C64152"/>
    <w:rsid w:val="00C6591E"/>
    <w:rsid w:val="00C66A4D"/>
    <w:rsid w:val="00C66ECB"/>
    <w:rsid w:val="00C6791A"/>
    <w:rsid w:val="00C731DE"/>
    <w:rsid w:val="00C74A22"/>
    <w:rsid w:val="00C766EE"/>
    <w:rsid w:val="00C773A1"/>
    <w:rsid w:val="00C77836"/>
    <w:rsid w:val="00C8060A"/>
    <w:rsid w:val="00C811AB"/>
    <w:rsid w:val="00C81651"/>
    <w:rsid w:val="00C81817"/>
    <w:rsid w:val="00C81BCB"/>
    <w:rsid w:val="00C82199"/>
    <w:rsid w:val="00C82775"/>
    <w:rsid w:val="00C82984"/>
    <w:rsid w:val="00C83EE3"/>
    <w:rsid w:val="00C859F5"/>
    <w:rsid w:val="00C87365"/>
    <w:rsid w:val="00C874CC"/>
    <w:rsid w:val="00C87E9E"/>
    <w:rsid w:val="00C9025B"/>
    <w:rsid w:val="00C910F9"/>
    <w:rsid w:val="00C9175B"/>
    <w:rsid w:val="00C91ECE"/>
    <w:rsid w:val="00C95EBF"/>
    <w:rsid w:val="00C97A58"/>
    <w:rsid w:val="00C97C95"/>
    <w:rsid w:val="00C97E9C"/>
    <w:rsid w:val="00CA01C7"/>
    <w:rsid w:val="00CA25EE"/>
    <w:rsid w:val="00CA2739"/>
    <w:rsid w:val="00CA5208"/>
    <w:rsid w:val="00CA659D"/>
    <w:rsid w:val="00CA693A"/>
    <w:rsid w:val="00CA72EA"/>
    <w:rsid w:val="00CA7B16"/>
    <w:rsid w:val="00CA7C4B"/>
    <w:rsid w:val="00CB0714"/>
    <w:rsid w:val="00CB0A44"/>
    <w:rsid w:val="00CB14D1"/>
    <w:rsid w:val="00CB2129"/>
    <w:rsid w:val="00CB2324"/>
    <w:rsid w:val="00CB4AC9"/>
    <w:rsid w:val="00CB5A0F"/>
    <w:rsid w:val="00CB6993"/>
    <w:rsid w:val="00CC2943"/>
    <w:rsid w:val="00CC312C"/>
    <w:rsid w:val="00CC4D08"/>
    <w:rsid w:val="00CC5785"/>
    <w:rsid w:val="00CC5A75"/>
    <w:rsid w:val="00CC630A"/>
    <w:rsid w:val="00CC6C63"/>
    <w:rsid w:val="00CC78BB"/>
    <w:rsid w:val="00CD0F8E"/>
    <w:rsid w:val="00CD2241"/>
    <w:rsid w:val="00CD2A8C"/>
    <w:rsid w:val="00CD389F"/>
    <w:rsid w:val="00CD522A"/>
    <w:rsid w:val="00CD5553"/>
    <w:rsid w:val="00CD710D"/>
    <w:rsid w:val="00CD7781"/>
    <w:rsid w:val="00CE0FF4"/>
    <w:rsid w:val="00CE1A64"/>
    <w:rsid w:val="00CE244D"/>
    <w:rsid w:val="00CE2BB7"/>
    <w:rsid w:val="00CE2BCC"/>
    <w:rsid w:val="00CE6BC3"/>
    <w:rsid w:val="00CE78BD"/>
    <w:rsid w:val="00CF0E61"/>
    <w:rsid w:val="00CF1135"/>
    <w:rsid w:val="00CF20C1"/>
    <w:rsid w:val="00CF229D"/>
    <w:rsid w:val="00CF2CAD"/>
    <w:rsid w:val="00CF2F92"/>
    <w:rsid w:val="00CF3F18"/>
    <w:rsid w:val="00CF4AE8"/>
    <w:rsid w:val="00CF5191"/>
    <w:rsid w:val="00CF5CC0"/>
    <w:rsid w:val="00D004D9"/>
    <w:rsid w:val="00D012C2"/>
    <w:rsid w:val="00D0130D"/>
    <w:rsid w:val="00D01F00"/>
    <w:rsid w:val="00D036C6"/>
    <w:rsid w:val="00D03E62"/>
    <w:rsid w:val="00D04EE9"/>
    <w:rsid w:val="00D05244"/>
    <w:rsid w:val="00D05543"/>
    <w:rsid w:val="00D0568E"/>
    <w:rsid w:val="00D0725F"/>
    <w:rsid w:val="00D10A8B"/>
    <w:rsid w:val="00D10DD2"/>
    <w:rsid w:val="00D10E2A"/>
    <w:rsid w:val="00D10F08"/>
    <w:rsid w:val="00D11950"/>
    <w:rsid w:val="00D13E93"/>
    <w:rsid w:val="00D13FDD"/>
    <w:rsid w:val="00D14E49"/>
    <w:rsid w:val="00D21E78"/>
    <w:rsid w:val="00D23210"/>
    <w:rsid w:val="00D23E0D"/>
    <w:rsid w:val="00D24B40"/>
    <w:rsid w:val="00D24E42"/>
    <w:rsid w:val="00D25257"/>
    <w:rsid w:val="00D2631F"/>
    <w:rsid w:val="00D26760"/>
    <w:rsid w:val="00D30331"/>
    <w:rsid w:val="00D3193C"/>
    <w:rsid w:val="00D327B3"/>
    <w:rsid w:val="00D32F68"/>
    <w:rsid w:val="00D36241"/>
    <w:rsid w:val="00D40CB3"/>
    <w:rsid w:val="00D4118B"/>
    <w:rsid w:val="00D414E8"/>
    <w:rsid w:val="00D45930"/>
    <w:rsid w:val="00D45B6F"/>
    <w:rsid w:val="00D46571"/>
    <w:rsid w:val="00D4695C"/>
    <w:rsid w:val="00D4766A"/>
    <w:rsid w:val="00D4797B"/>
    <w:rsid w:val="00D508ED"/>
    <w:rsid w:val="00D51505"/>
    <w:rsid w:val="00D52913"/>
    <w:rsid w:val="00D52F66"/>
    <w:rsid w:val="00D54D2A"/>
    <w:rsid w:val="00D54FC0"/>
    <w:rsid w:val="00D5517C"/>
    <w:rsid w:val="00D55725"/>
    <w:rsid w:val="00D56045"/>
    <w:rsid w:val="00D57012"/>
    <w:rsid w:val="00D577E0"/>
    <w:rsid w:val="00D57D23"/>
    <w:rsid w:val="00D57F15"/>
    <w:rsid w:val="00D605CC"/>
    <w:rsid w:val="00D64C56"/>
    <w:rsid w:val="00D66467"/>
    <w:rsid w:val="00D66805"/>
    <w:rsid w:val="00D66FD5"/>
    <w:rsid w:val="00D67A3C"/>
    <w:rsid w:val="00D67FA4"/>
    <w:rsid w:val="00D72C12"/>
    <w:rsid w:val="00D730E7"/>
    <w:rsid w:val="00D73C2D"/>
    <w:rsid w:val="00D73C63"/>
    <w:rsid w:val="00D74CEA"/>
    <w:rsid w:val="00D75CC2"/>
    <w:rsid w:val="00D779BE"/>
    <w:rsid w:val="00D77E1E"/>
    <w:rsid w:val="00D82103"/>
    <w:rsid w:val="00D82E4E"/>
    <w:rsid w:val="00D8497F"/>
    <w:rsid w:val="00D87BFE"/>
    <w:rsid w:val="00D90957"/>
    <w:rsid w:val="00D90F95"/>
    <w:rsid w:val="00D91BFA"/>
    <w:rsid w:val="00D921A6"/>
    <w:rsid w:val="00D927AA"/>
    <w:rsid w:val="00D93279"/>
    <w:rsid w:val="00D937DB"/>
    <w:rsid w:val="00D93AAB"/>
    <w:rsid w:val="00D93FF2"/>
    <w:rsid w:val="00D96F95"/>
    <w:rsid w:val="00D97D93"/>
    <w:rsid w:val="00DA1E71"/>
    <w:rsid w:val="00DA2C8E"/>
    <w:rsid w:val="00DA6173"/>
    <w:rsid w:val="00DA76CA"/>
    <w:rsid w:val="00DA7EDD"/>
    <w:rsid w:val="00DB03B1"/>
    <w:rsid w:val="00DB05F3"/>
    <w:rsid w:val="00DB13B9"/>
    <w:rsid w:val="00DB3752"/>
    <w:rsid w:val="00DB5392"/>
    <w:rsid w:val="00DB5AF7"/>
    <w:rsid w:val="00DB5F09"/>
    <w:rsid w:val="00DB695D"/>
    <w:rsid w:val="00DC0200"/>
    <w:rsid w:val="00DC1F7D"/>
    <w:rsid w:val="00DC24F1"/>
    <w:rsid w:val="00DC2849"/>
    <w:rsid w:val="00DC43A4"/>
    <w:rsid w:val="00DC5535"/>
    <w:rsid w:val="00DC5A59"/>
    <w:rsid w:val="00DD0B24"/>
    <w:rsid w:val="00DD1E40"/>
    <w:rsid w:val="00DD3BBC"/>
    <w:rsid w:val="00DD44C9"/>
    <w:rsid w:val="00DD45F3"/>
    <w:rsid w:val="00DD55FE"/>
    <w:rsid w:val="00DD5DEE"/>
    <w:rsid w:val="00DD75E3"/>
    <w:rsid w:val="00DD79DF"/>
    <w:rsid w:val="00DD79F4"/>
    <w:rsid w:val="00DE05A5"/>
    <w:rsid w:val="00DE077B"/>
    <w:rsid w:val="00DE0C55"/>
    <w:rsid w:val="00DE23B1"/>
    <w:rsid w:val="00DE2AEF"/>
    <w:rsid w:val="00DE337D"/>
    <w:rsid w:val="00DE38B4"/>
    <w:rsid w:val="00DE46CF"/>
    <w:rsid w:val="00DE6D3C"/>
    <w:rsid w:val="00DE7341"/>
    <w:rsid w:val="00DE7354"/>
    <w:rsid w:val="00DF08D9"/>
    <w:rsid w:val="00DF2541"/>
    <w:rsid w:val="00DF2CF3"/>
    <w:rsid w:val="00DF42E1"/>
    <w:rsid w:val="00DF6214"/>
    <w:rsid w:val="00DF759C"/>
    <w:rsid w:val="00DF7BE2"/>
    <w:rsid w:val="00E00498"/>
    <w:rsid w:val="00E02B0F"/>
    <w:rsid w:val="00E03A11"/>
    <w:rsid w:val="00E078F5"/>
    <w:rsid w:val="00E11E81"/>
    <w:rsid w:val="00E13E87"/>
    <w:rsid w:val="00E14E79"/>
    <w:rsid w:val="00E176A8"/>
    <w:rsid w:val="00E20ED6"/>
    <w:rsid w:val="00E22EB3"/>
    <w:rsid w:val="00E24283"/>
    <w:rsid w:val="00E248E0"/>
    <w:rsid w:val="00E2559A"/>
    <w:rsid w:val="00E257A1"/>
    <w:rsid w:val="00E26AB1"/>
    <w:rsid w:val="00E26EB2"/>
    <w:rsid w:val="00E3112D"/>
    <w:rsid w:val="00E316E5"/>
    <w:rsid w:val="00E332A5"/>
    <w:rsid w:val="00E33A47"/>
    <w:rsid w:val="00E34644"/>
    <w:rsid w:val="00E346BA"/>
    <w:rsid w:val="00E35EBD"/>
    <w:rsid w:val="00E3635B"/>
    <w:rsid w:val="00E36778"/>
    <w:rsid w:val="00E4081B"/>
    <w:rsid w:val="00E41607"/>
    <w:rsid w:val="00E4362B"/>
    <w:rsid w:val="00E446F4"/>
    <w:rsid w:val="00E44E35"/>
    <w:rsid w:val="00E45C64"/>
    <w:rsid w:val="00E476CD"/>
    <w:rsid w:val="00E511B1"/>
    <w:rsid w:val="00E53FB7"/>
    <w:rsid w:val="00E54FA4"/>
    <w:rsid w:val="00E550E8"/>
    <w:rsid w:val="00E56B60"/>
    <w:rsid w:val="00E57E05"/>
    <w:rsid w:val="00E60124"/>
    <w:rsid w:val="00E602B2"/>
    <w:rsid w:val="00E604CB"/>
    <w:rsid w:val="00E60C39"/>
    <w:rsid w:val="00E60CDB"/>
    <w:rsid w:val="00E62050"/>
    <w:rsid w:val="00E6217E"/>
    <w:rsid w:val="00E62F40"/>
    <w:rsid w:val="00E63EC5"/>
    <w:rsid w:val="00E650BD"/>
    <w:rsid w:val="00E65253"/>
    <w:rsid w:val="00E675CD"/>
    <w:rsid w:val="00E70994"/>
    <w:rsid w:val="00E710AB"/>
    <w:rsid w:val="00E71B4F"/>
    <w:rsid w:val="00E724A9"/>
    <w:rsid w:val="00E72845"/>
    <w:rsid w:val="00E72D86"/>
    <w:rsid w:val="00E73F63"/>
    <w:rsid w:val="00E74948"/>
    <w:rsid w:val="00E74EFC"/>
    <w:rsid w:val="00E76568"/>
    <w:rsid w:val="00E774AD"/>
    <w:rsid w:val="00E77C63"/>
    <w:rsid w:val="00E807DC"/>
    <w:rsid w:val="00E812E1"/>
    <w:rsid w:val="00E830DE"/>
    <w:rsid w:val="00E83453"/>
    <w:rsid w:val="00E83CF4"/>
    <w:rsid w:val="00E842B3"/>
    <w:rsid w:val="00E84BB2"/>
    <w:rsid w:val="00E8524A"/>
    <w:rsid w:val="00E862B3"/>
    <w:rsid w:val="00E86EB2"/>
    <w:rsid w:val="00E90984"/>
    <w:rsid w:val="00E9134C"/>
    <w:rsid w:val="00E91A17"/>
    <w:rsid w:val="00E937FD"/>
    <w:rsid w:val="00E93A47"/>
    <w:rsid w:val="00E94502"/>
    <w:rsid w:val="00E951BB"/>
    <w:rsid w:val="00E9551D"/>
    <w:rsid w:val="00E96B98"/>
    <w:rsid w:val="00E97370"/>
    <w:rsid w:val="00E97582"/>
    <w:rsid w:val="00E97C8F"/>
    <w:rsid w:val="00E97D26"/>
    <w:rsid w:val="00EA0159"/>
    <w:rsid w:val="00EA255F"/>
    <w:rsid w:val="00EA283A"/>
    <w:rsid w:val="00EA4F24"/>
    <w:rsid w:val="00EA60CC"/>
    <w:rsid w:val="00EA7AD0"/>
    <w:rsid w:val="00EB11B3"/>
    <w:rsid w:val="00EB2F2A"/>
    <w:rsid w:val="00EB4217"/>
    <w:rsid w:val="00EB4739"/>
    <w:rsid w:val="00EB524D"/>
    <w:rsid w:val="00EB6187"/>
    <w:rsid w:val="00EB62D7"/>
    <w:rsid w:val="00EC1296"/>
    <w:rsid w:val="00EC1594"/>
    <w:rsid w:val="00EC15D2"/>
    <w:rsid w:val="00EC2F3C"/>
    <w:rsid w:val="00EC3559"/>
    <w:rsid w:val="00EC3D9C"/>
    <w:rsid w:val="00EC4769"/>
    <w:rsid w:val="00EC4EDF"/>
    <w:rsid w:val="00EC5E03"/>
    <w:rsid w:val="00EC6193"/>
    <w:rsid w:val="00EC74BB"/>
    <w:rsid w:val="00ED0525"/>
    <w:rsid w:val="00ED276C"/>
    <w:rsid w:val="00ED3C5F"/>
    <w:rsid w:val="00ED4CD1"/>
    <w:rsid w:val="00ED5202"/>
    <w:rsid w:val="00ED5460"/>
    <w:rsid w:val="00ED5E6E"/>
    <w:rsid w:val="00ED6140"/>
    <w:rsid w:val="00ED6941"/>
    <w:rsid w:val="00ED78C9"/>
    <w:rsid w:val="00EE01E7"/>
    <w:rsid w:val="00EE037D"/>
    <w:rsid w:val="00EE03B6"/>
    <w:rsid w:val="00EE47FA"/>
    <w:rsid w:val="00EE6CD2"/>
    <w:rsid w:val="00EE705E"/>
    <w:rsid w:val="00EE77A1"/>
    <w:rsid w:val="00EF0D6F"/>
    <w:rsid w:val="00EF0E6D"/>
    <w:rsid w:val="00EF1D10"/>
    <w:rsid w:val="00EF2CB5"/>
    <w:rsid w:val="00EF4301"/>
    <w:rsid w:val="00EF4497"/>
    <w:rsid w:val="00EF4B93"/>
    <w:rsid w:val="00EF4DA0"/>
    <w:rsid w:val="00EF4EC8"/>
    <w:rsid w:val="00EF5BF1"/>
    <w:rsid w:val="00EF60DE"/>
    <w:rsid w:val="00EF6206"/>
    <w:rsid w:val="00F012AD"/>
    <w:rsid w:val="00F01375"/>
    <w:rsid w:val="00F02323"/>
    <w:rsid w:val="00F02ECF"/>
    <w:rsid w:val="00F036E2"/>
    <w:rsid w:val="00F0398C"/>
    <w:rsid w:val="00F046AD"/>
    <w:rsid w:val="00F0620F"/>
    <w:rsid w:val="00F07B53"/>
    <w:rsid w:val="00F10C84"/>
    <w:rsid w:val="00F11DD0"/>
    <w:rsid w:val="00F1219B"/>
    <w:rsid w:val="00F14CC7"/>
    <w:rsid w:val="00F16125"/>
    <w:rsid w:val="00F1657A"/>
    <w:rsid w:val="00F17B1D"/>
    <w:rsid w:val="00F209D2"/>
    <w:rsid w:val="00F21864"/>
    <w:rsid w:val="00F21A87"/>
    <w:rsid w:val="00F22424"/>
    <w:rsid w:val="00F224C4"/>
    <w:rsid w:val="00F22C41"/>
    <w:rsid w:val="00F236F5"/>
    <w:rsid w:val="00F24F35"/>
    <w:rsid w:val="00F263E6"/>
    <w:rsid w:val="00F31BD9"/>
    <w:rsid w:val="00F32BFE"/>
    <w:rsid w:val="00F348D8"/>
    <w:rsid w:val="00F34E38"/>
    <w:rsid w:val="00F359F9"/>
    <w:rsid w:val="00F3667B"/>
    <w:rsid w:val="00F36715"/>
    <w:rsid w:val="00F36A46"/>
    <w:rsid w:val="00F36D78"/>
    <w:rsid w:val="00F40AAB"/>
    <w:rsid w:val="00F40CF3"/>
    <w:rsid w:val="00F421DD"/>
    <w:rsid w:val="00F4390D"/>
    <w:rsid w:val="00F46987"/>
    <w:rsid w:val="00F471FA"/>
    <w:rsid w:val="00F4796B"/>
    <w:rsid w:val="00F47C64"/>
    <w:rsid w:val="00F50325"/>
    <w:rsid w:val="00F50463"/>
    <w:rsid w:val="00F50707"/>
    <w:rsid w:val="00F508A0"/>
    <w:rsid w:val="00F50DE9"/>
    <w:rsid w:val="00F51532"/>
    <w:rsid w:val="00F51928"/>
    <w:rsid w:val="00F5378C"/>
    <w:rsid w:val="00F53D14"/>
    <w:rsid w:val="00F54A77"/>
    <w:rsid w:val="00F54D9C"/>
    <w:rsid w:val="00F555FE"/>
    <w:rsid w:val="00F55B53"/>
    <w:rsid w:val="00F5655E"/>
    <w:rsid w:val="00F56B32"/>
    <w:rsid w:val="00F56CF0"/>
    <w:rsid w:val="00F576BD"/>
    <w:rsid w:val="00F60502"/>
    <w:rsid w:val="00F61AE5"/>
    <w:rsid w:val="00F62FA3"/>
    <w:rsid w:val="00F64438"/>
    <w:rsid w:val="00F64858"/>
    <w:rsid w:val="00F64A77"/>
    <w:rsid w:val="00F6568A"/>
    <w:rsid w:val="00F65912"/>
    <w:rsid w:val="00F65940"/>
    <w:rsid w:val="00F662D9"/>
    <w:rsid w:val="00F66692"/>
    <w:rsid w:val="00F66F20"/>
    <w:rsid w:val="00F6712E"/>
    <w:rsid w:val="00F71C8E"/>
    <w:rsid w:val="00F7302C"/>
    <w:rsid w:val="00F739BE"/>
    <w:rsid w:val="00F74ED2"/>
    <w:rsid w:val="00F7527D"/>
    <w:rsid w:val="00F75A16"/>
    <w:rsid w:val="00F75CB7"/>
    <w:rsid w:val="00F7658E"/>
    <w:rsid w:val="00F7793B"/>
    <w:rsid w:val="00F77A3C"/>
    <w:rsid w:val="00F80836"/>
    <w:rsid w:val="00F80A23"/>
    <w:rsid w:val="00F80EB7"/>
    <w:rsid w:val="00F811D1"/>
    <w:rsid w:val="00F85649"/>
    <w:rsid w:val="00F85ED7"/>
    <w:rsid w:val="00F87A3B"/>
    <w:rsid w:val="00F87C6F"/>
    <w:rsid w:val="00F87DFE"/>
    <w:rsid w:val="00F90558"/>
    <w:rsid w:val="00F95AC3"/>
    <w:rsid w:val="00FA315F"/>
    <w:rsid w:val="00FA78D1"/>
    <w:rsid w:val="00FB0DDF"/>
    <w:rsid w:val="00FB1241"/>
    <w:rsid w:val="00FB14DE"/>
    <w:rsid w:val="00FB1C39"/>
    <w:rsid w:val="00FB1CF9"/>
    <w:rsid w:val="00FB4CB4"/>
    <w:rsid w:val="00FC4EB8"/>
    <w:rsid w:val="00FC50B4"/>
    <w:rsid w:val="00FC5294"/>
    <w:rsid w:val="00FC7036"/>
    <w:rsid w:val="00FD0215"/>
    <w:rsid w:val="00FD0281"/>
    <w:rsid w:val="00FD3690"/>
    <w:rsid w:val="00FD4A56"/>
    <w:rsid w:val="00FD563C"/>
    <w:rsid w:val="00FD5649"/>
    <w:rsid w:val="00FD68CE"/>
    <w:rsid w:val="00FE1439"/>
    <w:rsid w:val="00FE2132"/>
    <w:rsid w:val="00FE5011"/>
    <w:rsid w:val="00FE57ED"/>
    <w:rsid w:val="00FE6AE7"/>
    <w:rsid w:val="00FE79DF"/>
    <w:rsid w:val="00FE7C33"/>
    <w:rsid w:val="00FF09BD"/>
    <w:rsid w:val="00FF0DDF"/>
    <w:rsid w:val="00FF26A7"/>
    <w:rsid w:val="00FF29CA"/>
    <w:rsid w:val="00FF3CC0"/>
    <w:rsid w:val="00FF3CD0"/>
    <w:rsid w:val="00FF46DD"/>
    <w:rsid w:val="00FF5FB5"/>
    <w:rsid w:val="00FF66A1"/>
    <w:rsid w:val="00FF6A15"/>
    <w:rsid w:val="00FF71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01BE0C"/>
  <w15:docId w15:val="{144B1FDA-58DD-4098-AC14-23D79B55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C5"/>
    <w:rPr>
      <w:rFonts w:ascii="Century Gothic" w:eastAsia="Calibri" w:hAnsi="Century Gothic" w:cs="Times New Roman"/>
      <w:szCs w:val="22"/>
      <w:lang w:eastAsia="en-US"/>
    </w:rPr>
  </w:style>
  <w:style w:type="paragraph" w:styleId="Heading1">
    <w:name w:val="heading 1"/>
    <w:basedOn w:val="Normal"/>
    <w:link w:val="Heading1Char"/>
    <w:uiPriority w:val="9"/>
    <w:qFormat/>
    <w:rsid w:val="002F392E"/>
    <w:pPr>
      <w:spacing w:before="100" w:beforeAutospacing="1" w:after="100" w:afterAutospacing="1"/>
      <w:outlineLvl w:val="0"/>
    </w:pPr>
    <w:rPr>
      <w:rFonts w:ascii="Times New Roman" w:eastAsia="Times New Roman" w:hAnsi="Times New Roman"/>
      <w:b/>
      <w:bCs/>
      <w:kern w:val="36"/>
      <w:sz w:val="48"/>
      <w:szCs w:val="48"/>
    </w:rPr>
  </w:style>
  <w:style w:type="paragraph" w:styleId="Heading5">
    <w:name w:val="heading 5"/>
    <w:basedOn w:val="Normal"/>
    <w:next w:val="Normal"/>
    <w:link w:val="Heading5Char"/>
    <w:uiPriority w:val="9"/>
    <w:semiHidden/>
    <w:unhideWhenUsed/>
    <w:qFormat/>
    <w:rsid w:val="00EF1D1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AD6998"/>
    <w:rPr>
      <w:rFonts w:ascii="Verdana" w:hAnsi="Verdana"/>
      <w:color w:val="800080"/>
      <w:szCs w:val="24"/>
      <w:lang w:val="en-US" w:eastAsia="en-US" w:bidi="ar-SA"/>
    </w:rPr>
  </w:style>
  <w:style w:type="paragraph" w:styleId="Header">
    <w:name w:val="header"/>
    <w:basedOn w:val="Normal"/>
    <w:link w:val="HeaderChar"/>
    <w:uiPriority w:val="99"/>
    <w:unhideWhenUsed/>
    <w:rsid w:val="00C4586D"/>
    <w:pPr>
      <w:tabs>
        <w:tab w:val="center" w:pos="4320"/>
        <w:tab w:val="right" w:pos="8640"/>
      </w:tabs>
    </w:pPr>
  </w:style>
  <w:style w:type="character" w:customStyle="1" w:styleId="HeaderChar">
    <w:name w:val="Header Char"/>
    <w:basedOn w:val="DefaultParagraphFont"/>
    <w:link w:val="Header"/>
    <w:uiPriority w:val="99"/>
    <w:rsid w:val="00C4586D"/>
    <w:rPr>
      <w:rFonts w:ascii="Century Gothic" w:hAnsi="Century Gothic"/>
      <w:szCs w:val="24"/>
    </w:rPr>
  </w:style>
  <w:style w:type="paragraph" w:styleId="Footer">
    <w:name w:val="footer"/>
    <w:basedOn w:val="Normal"/>
    <w:link w:val="FooterChar"/>
    <w:unhideWhenUsed/>
    <w:rsid w:val="00C4586D"/>
    <w:pPr>
      <w:tabs>
        <w:tab w:val="center" w:pos="4320"/>
        <w:tab w:val="right" w:pos="8640"/>
      </w:tabs>
    </w:pPr>
  </w:style>
  <w:style w:type="character" w:customStyle="1" w:styleId="FooterChar">
    <w:name w:val="Footer Char"/>
    <w:basedOn w:val="DefaultParagraphFont"/>
    <w:link w:val="Footer"/>
    <w:rsid w:val="00C4586D"/>
    <w:rPr>
      <w:rFonts w:ascii="Century Gothic" w:hAnsi="Century Gothic"/>
      <w:szCs w:val="24"/>
    </w:rPr>
  </w:style>
  <w:style w:type="paragraph" w:customStyle="1" w:styleId="BasicParagraph">
    <w:name w:val="[Basic Paragraph]"/>
    <w:basedOn w:val="Normal"/>
    <w:uiPriority w:val="99"/>
    <w:rsid w:val="00702B13"/>
    <w:pPr>
      <w:widowControl w:val="0"/>
      <w:autoSpaceDE w:val="0"/>
      <w:autoSpaceDN w:val="0"/>
      <w:adjustRightInd w:val="0"/>
      <w:spacing w:line="288" w:lineRule="auto"/>
      <w:textAlignment w:val="center"/>
    </w:pPr>
    <w:rPr>
      <w:rFonts w:ascii="Times-Roman" w:eastAsia="MS PGothic" w:hAnsi="Times-Roman" w:cs="Times-Roman"/>
      <w:color w:val="000000"/>
      <w:sz w:val="24"/>
    </w:rPr>
  </w:style>
  <w:style w:type="character" w:styleId="Hyperlink">
    <w:name w:val="Hyperlink"/>
    <w:rsid w:val="00655D88"/>
    <w:rPr>
      <w:rFonts w:ascii="Century Gothic" w:hAnsi="Century Gothic"/>
      <w:color w:val="auto"/>
      <w:u w:val="none"/>
    </w:rPr>
  </w:style>
  <w:style w:type="paragraph" w:customStyle="1" w:styleId="BulletLevel1">
    <w:name w:val="Bullet Level 1"/>
    <w:basedOn w:val="Normal"/>
    <w:qFormat/>
    <w:rsid w:val="00655D88"/>
    <w:pPr>
      <w:numPr>
        <w:numId w:val="1"/>
      </w:numPr>
      <w:ind w:left="720"/>
    </w:pPr>
    <w:rPr>
      <w:szCs w:val="20"/>
    </w:rPr>
  </w:style>
  <w:style w:type="paragraph" w:customStyle="1" w:styleId="BulletLevel2">
    <w:name w:val="Bullet Level 2"/>
    <w:basedOn w:val="Normal"/>
    <w:qFormat/>
    <w:rsid w:val="00655D88"/>
    <w:pPr>
      <w:numPr>
        <w:ilvl w:val="1"/>
        <w:numId w:val="1"/>
      </w:numPr>
    </w:pPr>
    <w:rPr>
      <w:szCs w:val="20"/>
    </w:rPr>
  </w:style>
  <w:style w:type="paragraph" w:customStyle="1" w:styleId="BulletLevel3">
    <w:name w:val="Bullet Level 3"/>
    <w:basedOn w:val="Normal"/>
    <w:qFormat/>
    <w:rsid w:val="00655D88"/>
    <w:pPr>
      <w:numPr>
        <w:numId w:val="2"/>
      </w:numPr>
      <w:ind w:left="1440"/>
    </w:pPr>
    <w:rPr>
      <w:szCs w:val="20"/>
    </w:rPr>
  </w:style>
  <w:style w:type="paragraph" w:customStyle="1" w:styleId="HeadLevel1">
    <w:name w:val="Head Level 1"/>
    <w:basedOn w:val="Normal"/>
    <w:qFormat/>
    <w:rsid w:val="00655D88"/>
    <w:pPr>
      <w:keepNext/>
    </w:pPr>
    <w:rPr>
      <w:b/>
      <w:szCs w:val="20"/>
    </w:rPr>
  </w:style>
  <w:style w:type="paragraph" w:customStyle="1" w:styleId="HeadLevel2">
    <w:name w:val="Head Level 2"/>
    <w:basedOn w:val="Normal"/>
    <w:qFormat/>
    <w:rsid w:val="00655D88"/>
    <w:pPr>
      <w:keepNext/>
    </w:pPr>
    <w:rPr>
      <w:b/>
      <w:szCs w:val="20"/>
    </w:rPr>
  </w:style>
  <w:style w:type="paragraph" w:customStyle="1" w:styleId="Default">
    <w:name w:val="Default"/>
    <w:rsid w:val="0059261E"/>
    <w:pPr>
      <w:autoSpaceDE w:val="0"/>
      <w:autoSpaceDN w:val="0"/>
      <w:adjustRightInd w:val="0"/>
      <w:spacing w:line="276" w:lineRule="auto"/>
    </w:pPr>
    <w:rPr>
      <w:rFonts w:ascii="Times New Roman" w:eastAsia="Calibri" w:hAnsi="Times New Roman" w:cs="Times New Roman"/>
      <w:color w:val="000000"/>
      <w:sz w:val="24"/>
      <w:szCs w:val="24"/>
      <w:lang w:eastAsia="en-US"/>
    </w:rPr>
  </w:style>
  <w:style w:type="paragraph" w:styleId="ListParagraph">
    <w:name w:val="List Paragraph"/>
    <w:basedOn w:val="Normal"/>
    <w:uiPriority w:val="34"/>
    <w:qFormat/>
    <w:rsid w:val="0059261E"/>
    <w:pPr>
      <w:ind w:left="720"/>
      <w:contextualSpacing/>
    </w:pPr>
  </w:style>
  <w:style w:type="character" w:styleId="FollowedHyperlink">
    <w:name w:val="FollowedHyperlink"/>
    <w:basedOn w:val="DefaultParagraphFont"/>
    <w:uiPriority w:val="99"/>
    <w:semiHidden/>
    <w:unhideWhenUsed/>
    <w:rsid w:val="0059261E"/>
    <w:rPr>
      <w:color w:val="auto"/>
      <w:u w:val="none"/>
    </w:rPr>
  </w:style>
  <w:style w:type="character" w:styleId="CommentReference">
    <w:name w:val="annotation reference"/>
    <w:basedOn w:val="DefaultParagraphFont"/>
    <w:uiPriority w:val="99"/>
    <w:semiHidden/>
    <w:unhideWhenUsed/>
    <w:rsid w:val="0059261E"/>
    <w:rPr>
      <w:sz w:val="16"/>
      <w:szCs w:val="16"/>
    </w:rPr>
  </w:style>
  <w:style w:type="paragraph" w:styleId="CommentText">
    <w:name w:val="annotation text"/>
    <w:basedOn w:val="Normal"/>
    <w:link w:val="CommentTextChar"/>
    <w:uiPriority w:val="99"/>
    <w:unhideWhenUsed/>
    <w:rsid w:val="0059261E"/>
    <w:rPr>
      <w:szCs w:val="20"/>
    </w:rPr>
  </w:style>
  <w:style w:type="character" w:customStyle="1" w:styleId="CommentTextChar">
    <w:name w:val="Comment Text Char"/>
    <w:basedOn w:val="DefaultParagraphFont"/>
    <w:link w:val="CommentText"/>
    <w:uiPriority w:val="99"/>
    <w:rsid w:val="0059261E"/>
    <w:rPr>
      <w:rFonts w:ascii="Century Gothic" w:eastAsia="Calibri" w:hAnsi="Century Gothic" w:cs="Times New Roman"/>
      <w:lang w:eastAsia="en-US"/>
    </w:rPr>
  </w:style>
  <w:style w:type="paragraph" w:styleId="CommentSubject">
    <w:name w:val="annotation subject"/>
    <w:basedOn w:val="CommentText"/>
    <w:next w:val="CommentText"/>
    <w:link w:val="CommentSubjectChar"/>
    <w:uiPriority w:val="99"/>
    <w:semiHidden/>
    <w:unhideWhenUsed/>
    <w:rsid w:val="0059261E"/>
    <w:rPr>
      <w:b/>
      <w:bCs/>
    </w:rPr>
  </w:style>
  <w:style w:type="character" w:customStyle="1" w:styleId="CommentSubjectChar">
    <w:name w:val="Comment Subject Char"/>
    <w:basedOn w:val="CommentTextChar"/>
    <w:link w:val="CommentSubject"/>
    <w:uiPriority w:val="99"/>
    <w:semiHidden/>
    <w:rsid w:val="0059261E"/>
    <w:rPr>
      <w:rFonts w:ascii="Century Gothic" w:eastAsia="Calibri" w:hAnsi="Century Gothic" w:cs="Times New Roman"/>
      <w:b/>
      <w:bCs/>
      <w:lang w:eastAsia="en-US"/>
    </w:rPr>
  </w:style>
  <w:style w:type="paragraph" w:styleId="Revision">
    <w:name w:val="Revision"/>
    <w:hidden/>
    <w:uiPriority w:val="99"/>
    <w:semiHidden/>
    <w:rsid w:val="0059261E"/>
    <w:rPr>
      <w:rFonts w:ascii="Century Gothic" w:eastAsia="Calibri" w:hAnsi="Century Gothic" w:cs="Times New Roman"/>
      <w:szCs w:val="22"/>
      <w:lang w:eastAsia="en-US"/>
    </w:rPr>
  </w:style>
  <w:style w:type="paragraph" w:styleId="FootnoteText">
    <w:name w:val="footnote text"/>
    <w:basedOn w:val="Normal"/>
    <w:link w:val="FootnoteTextChar"/>
    <w:uiPriority w:val="99"/>
    <w:unhideWhenUsed/>
    <w:rsid w:val="0059261E"/>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59261E"/>
    <w:rPr>
      <w:rFonts w:eastAsiaTheme="minorHAnsi"/>
      <w:lang w:eastAsia="en-US"/>
    </w:rPr>
  </w:style>
  <w:style w:type="character" w:styleId="FootnoteReference">
    <w:name w:val="footnote reference"/>
    <w:basedOn w:val="DefaultParagraphFont"/>
    <w:uiPriority w:val="99"/>
    <w:unhideWhenUsed/>
    <w:rsid w:val="0059261E"/>
    <w:rPr>
      <w:vertAlign w:val="superscript"/>
    </w:rPr>
  </w:style>
  <w:style w:type="paragraph" w:styleId="NoSpacing">
    <w:name w:val="No Spacing"/>
    <w:uiPriority w:val="1"/>
    <w:qFormat/>
    <w:rsid w:val="0059261E"/>
    <w:rPr>
      <w:rFonts w:ascii="Calibri" w:eastAsia="Calibri" w:hAnsi="Calibri" w:cs="Times New Roman"/>
      <w:sz w:val="22"/>
      <w:szCs w:val="22"/>
      <w:lang w:eastAsia="en-US"/>
    </w:rPr>
  </w:style>
  <w:style w:type="paragraph" w:customStyle="1" w:styleId="CAPDEFAULT">
    <w:name w:val="CAP DEFAULT"/>
    <w:basedOn w:val="Normal"/>
    <w:rsid w:val="00736654"/>
    <w:pPr>
      <w:ind w:left="720"/>
    </w:pPr>
    <w:rPr>
      <w:rFonts w:ascii="CG Times (W1)" w:eastAsia="Times New Roman" w:hAnsi="CG Times (W1)"/>
      <w:sz w:val="24"/>
      <w:szCs w:val="20"/>
    </w:rPr>
  </w:style>
  <w:style w:type="paragraph" w:styleId="PlainText">
    <w:name w:val="Plain Text"/>
    <w:basedOn w:val="Normal"/>
    <w:link w:val="PlainTextChar"/>
    <w:uiPriority w:val="99"/>
    <w:semiHidden/>
    <w:unhideWhenUsed/>
    <w:rsid w:val="00CA25E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A25EE"/>
    <w:rPr>
      <w:rFonts w:ascii="Calibri" w:eastAsiaTheme="minorHAnsi" w:hAnsi="Calibri"/>
      <w:sz w:val="22"/>
      <w:szCs w:val="21"/>
      <w:lang w:eastAsia="en-US"/>
    </w:rPr>
  </w:style>
  <w:style w:type="character" w:customStyle="1" w:styleId="Heading1Char">
    <w:name w:val="Heading 1 Char"/>
    <w:basedOn w:val="DefaultParagraphFont"/>
    <w:link w:val="Heading1"/>
    <w:uiPriority w:val="9"/>
    <w:rsid w:val="002F392E"/>
    <w:rPr>
      <w:rFonts w:ascii="Times New Roman" w:eastAsia="Times New Roman" w:hAnsi="Times New Roman" w:cs="Times New Roman"/>
      <w:b/>
      <w:bCs/>
      <w:kern w:val="36"/>
      <w:sz w:val="48"/>
      <w:szCs w:val="48"/>
      <w:lang w:eastAsia="en-US"/>
    </w:rPr>
  </w:style>
  <w:style w:type="paragraph" w:customStyle="1" w:styleId="Body">
    <w:name w:val="Body"/>
    <w:rsid w:val="004D00F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numbering" w:customStyle="1" w:styleId="ImportedStyle2">
    <w:name w:val="Imported Style 2"/>
    <w:rsid w:val="00005509"/>
    <w:pPr>
      <w:numPr>
        <w:numId w:val="3"/>
      </w:numPr>
    </w:pPr>
  </w:style>
  <w:style w:type="table" w:styleId="TableGrid">
    <w:name w:val="Table Grid"/>
    <w:basedOn w:val="TableNormal"/>
    <w:uiPriority w:val="59"/>
    <w:rsid w:val="000E457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36DAF"/>
    <w:rPr>
      <w:color w:val="605E5C"/>
      <w:shd w:val="clear" w:color="auto" w:fill="E1DFDD"/>
    </w:rPr>
  </w:style>
  <w:style w:type="paragraph" w:customStyle="1" w:styleId="clause">
    <w:name w:val="clause"/>
    <w:basedOn w:val="Normal"/>
    <w:rsid w:val="00A400B9"/>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E84BB2"/>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035A55"/>
  </w:style>
  <w:style w:type="character" w:customStyle="1" w:styleId="Heading5Char">
    <w:name w:val="Heading 5 Char"/>
    <w:basedOn w:val="DefaultParagraphFont"/>
    <w:link w:val="Heading5"/>
    <w:uiPriority w:val="9"/>
    <w:semiHidden/>
    <w:rsid w:val="00EF1D10"/>
    <w:rPr>
      <w:rFonts w:asciiTheme="majorHAnsi" w:eastAsiaTheme="majorEastAsia" w:hAnsiTheme="majorHAnsi" w:cstheme="majorBidi"/>
      <w:color w:val="365F91" w:themeColor="accent1" w:themeShade="BF"/>
      <w:szCs w:val="22"/>
      <w:lang w:eastAsia="en-US"/>
    </w:rPr>
  </w:style>
  <w:style w:type="paragraph" w:customStyle="1" w:styleId="PanelParaTextStyle">
    <w:name w:val="Panel Para Text Style"/>
    <w:rsid w:val="006F20E5"/>
    <w:pPr>
      <w:spacing w:before="120" w:after="120"/>
    </w:pPr>
    <w:rPr>
      <w:rFonts w:ascii="Times New Roman" w:eastAsia="Calibri" w:hAnsi="Times New Roman" w:cs="Times New Roman"/>
      <w:sz w:val="24"/>
      <w:szCs w:val="24"/>
      <w:lang w:eastAsia="en-US"/>
    </w:rPr>
  </w:style>
  <w:style w:type="character" w:styleId="UnresolvedMention">
    <w:name w:val="Unresolved Mention"/>
    <w:basedOn w:val="DefaultParagraphFont"/>
    <w:uiPriority w:val="99"/>
    <w:semiHidden/>
    <w:unhideWhenUsed/>
    <w:rsid w:val="00C6591E"/>
    <w:rPr>
      <w:color w:val="605E5C"/>
      <w:shd w:val="clear" w:color="auto" w:fill="E1DFDD"/>
    </w:rPr>
  </w:style>
  <w:style w:type="character" w:customStyle="1" w:styleId="do-cited-title">
    <w:name w:val="do-cited-title"/>
    <w:basedOn w:val="DefaultParagraphFont"/>
    <w:rsid w:val="005B3CFB"/>
  </w:style>
  <w:style w:type="character" w:customStyle="1" w:styleId="do-cited-date">
    <w:name w:val="do-cited-date"/>
    <w:basedOn w:val="DefaultParagraphFont"/>
    <w:rsid w:val="005B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2153">
      <w:bodyDiv w:val="1"/>
      <w:marLeft w:val="0"/>
      <w:marRight w:val="0"/>
      <w:marTop w:val="0"/>
      <w:marBottom w:val="0"/>
      <w:divBdr>
        <w:top w:val="none" w:sz="0" w:space="0" w:color="auto"/>
        <w:left w:val="none" w:sz="0" w:space="0" w:color="auto"/>
        <w:bottom w:val="none" w:sz="0" w:space="0" w:color="auto"/>
        <w:right w:val="none" w:sz="0" w:space="0" w:color="auto"/>
      </w:divBdr>
    </w:div>
    <w:div w:id="175265345">
      <w:bodyDiv w:val="1"/>
      <w:marLeft w:val="0"/>
      <w:marRight w:val="0"/>
      <w:marTop w:val="0"/>
      <w:marBottom w:val="0"/>
      <w:divBdr>
        <w:top w:val="none" w:sz="0" w:space="0" w:color="auto"/>
        <w:left w:val="none" w:sz="0" w:space="0" w:color="auto"/>
        <w:bottom w:val="none" w:sz="0" w:space="0" w:color="auto"/>
        <w:right w:val="none" w:sz="0" w:space="0" w:color="auto"/>
      </w:divBdr>
    </w:div>
    <w:div w:id="232280891">
      <w:bodyDiv w:val="1"/>
      <w:marLeft w:val="0"/>
      <w:marRight w:val="0"/>
      <w:marTop w:val="0"/>
      <w:marBottom w:val="0"/>
      <w:divBdr>
        <w:top w:val="none" w:sz="0" w:space="0" w:color="auto"/>
        <w:left w:val="none" w:sz="0" w:space="0" w:color="auto"/>
        <w:bottom w:val="none" w:sz="0" w:space="0" w:color="auto"/>
        <w:right w:val="none" w:sz="0" w:space="0" w:color="auto"/>
      </w:divBdr>
    </w:div>
    <w:div w:id="268440378">
      <w:bodyDiv w:val="1"/>
      <w:marLeft w:val="0"/>
      <w:marRight w:val="0"/>
      <w:marTop w:val="0"/>
      <w:marBottom w:val="0"/>
      <w:divBdr>
        <w:top w:val="none" w:sz="0" w:space="0" w:color="auto"/>
        <w:left w:val="none" w:sz="0" w:space="0" w:color="auto"/>
        <w:bottom w:val="none" w:sz="0" w:space="0" w:color="auto"/>
        <w:right w:val="none" w:sz="0" w:space="0" w:color="auto"/>
      </w:divBdr>
    </w:div>
    <w:div w:id="280453509">
      <w:bodyDiv w:val="1"/>
      <w:marLeft w:val="0"/>
      <w:marRight w:val="0"/>
      <w:marTop w:val="0"/>
      <w:marBottom w:val="0"/>
      <w:divBdr>
        <w:top w:val="none" w:sz="0" w:space="0" w:color="auto"/>
        <w:left w:val="none" w:sz="0" w:space="0" w:color="auto"/>
        <w:bottom w:val="none" w:sz="0" w:space="0" w:color="auto"/>
        <w:right w:val="none" w:sz="0" w:space="0" w:color="auto"/>
      </w:divBdr>
    </w:div>
    <w:div w:id="289556005">
      <w:bodyDiv w:val="1"/>
      <w:marLeft w:val="0"/>
      <w:marRight w:val="0"/>
      <w:marTop w:val="0"/>
      <w:marBottom w:val="0"/>
      <w:divBdr>
        <w:top w:val="none" w:sz="0" w:space="0" w:color="auto"/>
        <w:left w:val="none" w:sz="0" w:space="0" w:color="auto"/>
        <w:bottom w:val="none" w:sz="0" w:space="0" w:color="auto"/>
        <w:right w:val="none" w:sz="0" w:space="0" w:color="auto"/>
      </w:divBdr>
    </w:div>
    <w:div w:id="325599385">
      <w:bodyDiv w:val="1"/>
      <w:marLeft w:val="0"/>
      <w:marRight w:val="0"/>
      <w:marTop w:val="0"/>
      <w:marBottom w:val="0"/>
      <w:divBdr>
        <w:top w:val="none" w:sz="0" w:space="0" w:color="auto"/>
        <w:left w:val="none" w:sz="0" w:space="0" w:color="auto"/>
        <w:bottom w:val="none" w:sz="0" w:space="0" w:color="auto"/>
        <w:right w:val="none" w:sz="0" w:space="0" w:color="auto"/>
      </w:divBdr>
    </w:div>
    <w:div w:id="403648916">
      <w:bodyDiv w:val="1"/>
      <w:marLeft w:val="0"/>
      <w:marRight w:val="0"/>
      <w:marTop w:val="0"/>
      <w:marBottom w:val="0"/>
      <w:divBdr>
        <w:top w:val="none" w:sz="0" w:space="0" w:color="auto"/>
        <w:left w:val="none" w:sz="0" w:space="0" w:color="auto"/>
        <w:bottom w:val="none" w:sz="0" w:space="0" w:color="auto"/>
        <w:right w:val="none" w:sz="0" w:space="0" w:color="auto"/>
      </w:divBdr>
    </w:div>
    <w:div w:id="428543760">
      <w:bodyDiv w:val="1"/>
      <w:marLeft w:val="0"/>
      <w:marRight w:val="0"/>
      <w:marTop w:val="0"/>
      <w:marBottom w:val="0"/>
      <w:divBdr>
        <w:top w:val="none" w:sz="0" w:space="0" w:color="auto"/>
        <w:left w:val="none" w:sz="0" w:space="0" w:color="auto"/>
        <w:bottom w:val="none" w:sz="0" w:space="0" w:color="auto"/>
        <w:right w:val="none" w:sz="0" w:space="0" w:color="auto"/>
      </w:divBdr>
    </w:div>
    <w:div w:id="466777036">
      <w:bodyDiv w:val="1"/>
      <w:marLeft w:val="0"/>
      <w:marRight w:val="0"/>
      <w:marTop w:val="0"/>
      <w:marBottom w:val="0"/>
      <w:divBdr>
        <w:top w:val="none" w:sz="0" w:space="0" w:color="auto"/>
        <w:left w:val="none" w:sz="0" w:space="0" w:color="auto"/>
        <w:bottom w:val="none" w:sz="0" w:space="0" w:color="auto"/>
        <w:right w:val="none" w:sz="0" w:space="0" w:color="auto"/>
      </w:divBdr>
    </w:div>
    <w:div w:id="467626357">
      <w:bodyDiv w:val="1"/>
      <w:marLeft w:val="0"/>
      <w:marRight w:val="0"/>
      <w:marTop w:val="0"/>
      <w:marBottom w:val="0"/>
      <w:divBdr>
        <w:top w:val="none" w:sz="0" w:space="0" w:color="auto"/>
        <w:left w:val="none" w:sz="0" w:space="0" w:color="auto"/>
        <w:bottom w:val="none" w:sz="0" w:space="0" w:color="auto"/>
        <w:right w:val="none" w:sz="0" w:space="0" w:color="auto"/>
      </w:divBdr>
    </w:div>
    <w:div w:id="560557397">
      <w:bodyDiv w:val="1"/>
      <w:marLeft w:val="0"/>
      <w:marRight w:val="0"/>
      <w:marTop w:val="0"/>
      <w:marBottom w:val="0"/>
      <w:divBdr>
        <w:top w:val="none" w:sz="0" w:space="0" w:color="auto"/>
        <w:left w:val="none" w:sz="0" w:space="0" w:color="auto"/>
        <w:bottom w:val="none" w:sz="0" w:space="0" w:color="auto"/>
        <w:right w:val="none" w:sz="0" w:space="0" w:color="auto"/>
      </w:divBdr>
    </w:div>
    <w:div w:id="563301424">
      <w:bodyDiv w:val="1"/>
      <w:marLeft w:val="0"/>
      <w:marRight w:val="0"/>
      <w:marTop w:val="0"/>
      <w:marBottom w:val="0"/>
      <w:divBdr>
        <w:top w:val="none" w:sz="0" w:space="0" w:color="auto"/>
        <w:left w:val="none" w:sz="0" w:space="0" w:color="auto"/>
        <w:bottom w:val="none" w:sz="0" w:space="0" w:color="auto"/>
        <w:right w:val="none" w:sz="0" w:space="0" w:color="auto"/>
      </w:divBdr>
    </w:div>
    <w:div w:id="569388509">
      <w:bodyDiv w:val="1"/>
      <w:marLeft w:val="0"/>
      <w:marRight w:val="0"/>
      <w:marTop w:val="0"/>
      <w:marBottom w:val="0"/>
      <w:divBdr>
        <w:top w:val="none" w:sz="0" w:space="0" w:color="auto"/>
        <w:left w:val="none" w:sz="0" w:space="0" w:color="auto"/>
        <w:bottom w:val="none" w:sz="0" w:space="0" w:color="auto"/>
        <w:right w:val="none" w:sz="0" w:space="0" w:color="auto"/>
      </w:divBdr>
    </w:div>
    <w:div w:id="624241302">
      <w:bodyDiv w:val="1"/>
      <w:marLeft w:val="0"/>
      <w:marRight w:val="0"/>
      <w:marTop w:val="0"/>
      <w:marBottom w:val="0"/>
      <w:divBdr>
        <w:top w:val="none" w:sz="0" w:space="0" w:color="auto"/>
        <w:left w:val="none" w:sz="0" w:space="0" w:color="auto"/>
        <w:bottom w:val="none" w:sz="0" w:space="0" w:color="auto"/>
        <w:right w:val="none" w:sz="0" w:space="0" w:color="auto"/>
      </w:divBdr>
    </w:div>
    <w:div w:id="653341582">
      <w:bodyDiv w:val="1"/>
      <w:marLeft w:val="0"/>
      <w:marRight w:val="0"/>
      <w:marTop w:val="0"/>
      <w:marBottom w:val="0"/>
      <w:divBdr>
        <w:top w:val="none" w:sz="0" w:space="0" w:color="auto"/>
        <w:left w:val="none" w:sz="0" w:space="0" w:color="auto"/>
        <w:bottom w:val="none" w:sz="0" w:space="0" w:color="auto"/>
        <w:right w:val="none" w:sz="0" w:space="0" w:color="auto"/>
      </w:divBdr>
    </w:div>
    <w:div w:id="655188256">
      <w:bodyDiv w:val="1"/>
      <w:marLeft w:val="0"/>
      <w:marRight w:val="0"/>
      <w:marTop w:val="0"/>
      <w:marBottom w:val="0"/>
      <w:divBdr>
        <w:top w:val="none" w:sz="0" w:space="0" w:color="auto"/>
        <w:left w:val="none" w:sz="0" w:space="0" w:color="auto"/>
        <w:bottom w:val="none" w:sz="0" w:space="0" w:color="auto"/>
        <w:right w:val="none" w:sz="0" w:space="0" w:color="auto"/>
      </w:divBdr>
      <w:divsChild>
        <w:div w:id="1534222674">
          <w:marLeft w:val="360"/>
          <w:marRight w:val="0"/>
          <w:marTop w:val="96"/>
          <w:marBottom w:val="0"/>
          <w:divBdr>
            <w:top w:val="none" w:sz="0" w:space="0" w:color="auto"/>
            <w:left w:val="none" w:sz="0" w:space="0" w:color="auto"/>
            <w:bottom w:val="none" w:sz="0" w:space="0" w:color="auto"/>
            <w:right w:val="none" w:sz="0" w:space="0" w:color="auto"/>
          </w:divBdr>
        </w:div>
      </w:divsChild>
    </w:div>
    <w:div w:id="670137731">
      <w:bodyDiv w:val="1"/>
      <w:marLeft w:val="0"/>
      <w:marRight w:val="0"/>
      <w:marTop w:val="0"/>
      <w:marBottom w:val="0"/>
      <w:divBdr>
        <w:top w:val="none" w:sz="0" w:space="0" w:color="auto"/>
        <w:left w:val="none" w:sz="0" w:space="0" w:color="auto"/>
        <w:bottom w:val="none" w:sz="0" w:space="0" w:color="auto"/>
        <w:right w:val="none" w:sz="0" w:space="0" w:color="auto"/>
      </w:divBdr>
      <w:divsChild>
        <w:div w:id="1536314274">
          <w:marLeft w:val="360"/>
          <w:marRight w:val="0"/>
          <w:marTop w:val="0"/>
          <w:marBottom w:val="0"/>
          <w:divBdr>
            <w:top w:val="none" w:sz="0" w:space="0" w:color="auto"/>
            <w:left w:val="none" w:sz="0" w:space="0" w:color="auto"/>
            <w:bottom w:val="none" w:sz="0" w:space="0" w:color="auto"/>
            <w:right w:val="none" w:sz="0" w:space="0" w:color="auto"/>
          </w:divBdr>
        </w:div>
      </w:divsChild>
    </w:div>
    <w:div w:id="725568348">
      <w:bodyDiv w:val="1"/>
      <w:marLeft w:val="0"/>
      <w:marRight w:val="0"/>
      <w:marTop w:val="0"/>
      <w:marBottom w:val="0"/>
      <w:divBdr>
        <w:top w:val="none" w:sz="0" w:space="0" w:color="auto"/>
        <w:left w:val="none" w:sz="0" w:space="0" w:color="auto"/>
        <w:bottom w:val="none" w:sz="0" w:space="0" w:color="auto"/>
        <w:right w:val="none" w:sz="0" w:space="0" w:color="auto"/>
      </w:divBdr>
      <w:divsChild>
        <w:div w:id="755052108">
          <w:marLeft w:val="360"/>
          <w:marRight w:val="0"/>
          <w:marTop w:val="0"/>
          <w:marBottom w:val="0"/>
          <w:divBdr>
            <w:top w:val="none" w:sz="0" w:space="0" w:color="auto"/>
            <w:left w:val="none" w:sz="0" w:space="0" w:color="auto"/>
            <w:bottom w:val="none" w:sz="0" w:space="0" w:color="auto"/>
            <w:right w:val="none" w:sz="0" w:space="0" w:color="auto"/>
          </w:divBdr>
        </w:div>
      </w:divsChild>
    </w:div>
    <w:div w:id="750977803">
      <w:bodyDiv w:val="1"/>
      <w:marLeft w:val="0"/>
      <w:marRight w:val="0"/>
      <w:marTop w:val="0"/>
      <w:marBottom w:val="0"/>
      <w:divBdr>
        <w:top w:val="none" w:sz="0" w:space="0" w:color="auto"/>
        <w:left w:val="none" w:sz="0" w:space="0" w:color="auto"/>
        <w:bottom w:val="none" w:sz="0" w:space="0" w:color="auto"/>
        <w:right w:val="none" w:sz="0" w:space="0" w:color="auto"/>
      </w:divBdr>
    </w:div>
    <w:div w:id="781267495">
      <w:bodyDiv w:val="1"/>
      <w:marLeft w:val="0"/>
      <w:marRight w:val="0"/>
      <w:marTop w:val="0"/>
      <w:marBottom w:val="0"/>
      <w:divBdr>
        <w:top w:val="none" w:sz="0" w:space="0" w:color="auto"/>
        <w:left w:val="none" w:sz="0" w:space="0" w:color="auto"/>
        <w:bottom w:val="none" w:sz="0" w:space="0" w:color="auto"/>
        <w:right w:val="none" w:sz="0" w:space="0" w:color="auto"/>
      </w:divBdr>
      <w:divsChild>
        <w:div w:id="2069647230">
          <w:marLeft w:val="0"/>
          <w:marRight w:val="0"/>
          <w:marTop w:val="0"/>
          <w:marBottom w:val="0"/>
          <w:divBdr>
            <w:top w:val="none" w:sz="0" w:space="0" w:color="auto"/>
            <w:left w:val="none" w:sz="0" w:space="0" w:color="auto"/>
            <w:bottom w:val="none" w:sz="0" w:space="0" w:color="auto"/>
            <w:right w:val="none" w:sz="0" w:space="0" w:color="auto"/>
          </w:divBdr>
          <w:divsChild>
            <w:div w:id="442576802">
              <w:marLeft w:val="0"/>
              <w:marRight w:val="0"/>
              <w:marTop w:val="0"/>
              <w:marBottom w:val="0"/>
              <w:divBdr>
                <w:top w:val="none" w:sz="0" w:space="0" w:color="auto"/>
                <w:left w:val="none" w:sz="0" w:space="0" w:color="auto"/>
                <w:bottom w:val="none" w:sz="0" w:space="0" w:color="auto"/>
                <w:right w:val="none" w:sz="0" w:space="0" w:color="auto"/>
              </w:divBdr>
              <w:divsChild>
                <w:div w:id="1762675087">
                  <w:marLeft w:val="0"/>
                  <w:marRight w:val="0"/>
                  <w:marTop w:val="0"/>
                  <w:marBottom w:val="0"/>
                  <w:divBdr>
                    <w:top w:val="none" w:sz="0" w:space="0" w:color="auto"/>
                    <w:left w:val="none" w:sz="0" w:space="0" w:color="auto"/>
                    <w:bottom w:val="none" w:sz="0" w:space="0" w:color="auto"/>
                    <w:right w:val="none" w:sz="0" w:space="0" w:color="auto"/>
                  </w:divBdr>
                  <w:divsChild>
                    <w:div w:id="1177234765">
                      <w:marLeft w:val="0"/>
                      <w:marRight w:val="0"/>
                      <w:marTop w:val="0"/>
                      <w:marBottom w:val="0"/>
                      <w:divBdr>
                        <w:top w:val="none" w:sz="0" w:space="0" w:color="auto"/>
                        <w:left w:val="none" w:sz="0" w:space="0" w:color="auto"/>
                        <w:bottom w:val="none" w:sz="0" w:space="0" w:color="auto"/>
                        <w:right w:val="none" w:sz="0" w:space="0" w:color="auto"/>
                      </w:divBdr>
                      <w:divsChild>
                        <w:div w:id="2030597584">
                          <w:marLeft w:val="0"/>
                          <w:marRight w:val="0"/>
                          <w:marTop w:val="0"/>
                          <w:marBottom w:val="0"/>
                          <w:divBdr>
                            <w:top w:val="none" w:sz="0" w:space="0" w:color="auto"/>
                            <w:left w:val="none" w:sz="0" w:space="0" w:color="auto"/>
                            <w:bottom w:val="none" w:sz="0" w:space="0" w:color="auto"/>
                            <w:right w:val="none" w:sz="0" w:space="0" w:color="auto"/>
                          </w:divBdr>
                          <w:divsChild>
                            <w:div w:id="953562312">
                              <w:marLeft w:val="0"/>
                              <w:marRight w:val="0"/>
                              <w:marTop w:val="0"/>
                              <w:marBottom w:val="0"/>
                              <w:divBdr>
                                <w:top w:val="none" w:sz="0" w:space="0" w:color="auto"/>
                                <w:left w:val="none" w:sz="0" w:space="0" w:color="auto"/>
                                <w:bottom w:val="none" w:sz="0" w:space="0" w:color="auto"/>
                                <w:right w:val="none" w:sz="0" w:space="0" w:color="auto"/>
                              </w:divBdr>
                              <w:divsChild>
                                <w:div w:id="77751411">
                                  <w:marLeft w:val="0"/>
                                  <w:marRight w:val="0"/>
                                  <w:marTop w:val="0"/>
                                  <w:marBottom w:val="0"/>
                                  <w:divBdr>
                                    <w:top w:val="none" w:sz="0" w:space="0" w:color="auto"/>
                                    <w:left w:val="none" w:sz="0" w:space="0" w:color="auto"/>
                                    <w:bottom w:val="none" w:sz="0" w:space="0" w:color="auto"/>
                                    <w:right w:val="none" w:sz="0" w:space="0" w:color="auto"/>
                                  </w:divBdr>
                                  <w:divsChild>
                                    <w:div w:id="1729111413">
                                      <w:marLeft w:val="0"/>
                                      <w:marRight w:val="0"/>
                                      <w:marTop w:val="0"/>
                                      <w:marBottom w:val="0"/>
                                      <w:divBdr>
                                        <w:top w:val="none" w:sz="0" w:space="0" w:color="auto"/>
                                        <w:left w:val="none" w:sz="0" w:space="0" w:color="auto"/>
                                        <w:bottom w:val="none" w:sz="0" w:space="0" w:color="auto"/>
                                        <w:right w:val="none" w:sz="0" w:space="0" w:color="auto"/>
                                      </w:divBdr>
                                      <w:divsChild>
                                        <w:div w:id="1378092755">
                                          <w:marLeft w:val="0"/>
                                          <w:marRight w:val="0"/>
                                          <w:marTop w:val="0"/>
                                          <w:marBottom w:val="90"/>
                                          <w:divBdr>
                                            <w:top w:val="none" w:sz="0" w:space="0" w:color="auto"/>
                                            <w:left w:val="none" w:sz="0" w:space="0" w:color="auto"/>
                                            <w:bottom w:val="none" w:sz="0" w:space="0" w:color="auto"/>
                                            <w:right w:val="none" w:sz="0" w:space="0" w:color="auto"/>
                                          </w:divBdr>
                                          <w:divsChild>
                                            <w:div w:id="4492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045831">
      <w:bodyDiv w:val="1"/>
      <w:marLeft w:val="0"/>
      <w:marRight w:val="0"/>
      <w:marTop w:val="0"/>
      <w:marBottom w:val="0"/>
      <w:divBdr>
        <w:top w:val="none" w:sz="0" w:space="0" w:color="auto"/>
        <w:left w:val="none" w:sz="0" w:space="0" w:color="auto"/>
        <w:bottom w:val="none" w:sz="0" w:space="0" w:color="auto"/>
        <w:right w:val="none" w:sz="0" w:space="0" w:color="auto"/>
      </w:divBdr>
    </w:div>
    <w:div w:id="943730244">
      <w:bodyDiv w:val="1"/>
      <w:marLeft w:val="0"/>
      <w:marRight w:val="0"/>
      <w:marTop w:val="0"/>
      <w:marBottom w:val="0"/>
      <w:divBdr>
        <w:top w:val="none" w:sz="0" w:space="0" w:color="auto"/>
        <w:left w:val="none" w:sz="0" w:space="0" w:color="auto"/>
        <w:bottom w:val="none" w:sz="0" w:space="0" w:color="auto"/>
        <w:right w:val="none" w:sz="0" w:space="0" w:color="auto"/>
      </w:divBdr>
    </w:div>
    <w:div w:id="1155687102">
      <w:bodyDiv w:val="1"/>
      <w:marLeft w:val="0"/>
      <w:marRight w:val="0"/>
      <w:marTop w:val="0"/>
      <w:marBottom w:val="0"/>
      <w:divBdr>
        <w:top w:val="none" w:sz="0" w:space="0" w:color="auto"/>
        <w:left w:val="none" w:sz="0" w:space="0" w:color="auto"/>
        <w:bottom w:val="none" w:sz="0" w:space="0" w:color="auto"/>
        <w:right w:val="none" w:sz="0" w:space="0" w:color="auto"/>
      </w:divBdr>
    </w:div>
    <w:div w:id="1320115665">
      <w:bodyDiv w:val="1"/>
      <w:marLeft w:val="0"/>
      <w:marRight w:val="0"/>
      <w:marTop w:val="0"/>
      <w:marBottom w:val="0"/>
      <w:divBdr>
        <w:top w:val="none" w:sz="0" w:space="0" w:color="auto"/>
        <w:left w:val="none" w:sz="0" w:space="0" w:color="auto"/>
        <w:bottom w:val="none" w:sz="0" w:space="0" w:color="auto"/>
        <w:right w:val="none" w:sz="0" w:space="0" w:color="auto"/>
      </w:divBdr>
    </w:div>
    <w:div w:id="1428503847">
      <w:bodyDiv w:val="1"/>
      <w:marLeft w:val="0"/>
      <w:marRight w:val="0"/>
      <w:marTop w:val="0"/>
      <w:marBottom w:val="0"/>
      <w:divBdr>
        <w:top w:val="none" w:sz="0" w:space="0" w:color="auto"/>
        <w:left w:val="none" w:sz="0" w:space="0" w:color="auto"/>
        <w:bottom w:val="none" w:sz="0" w:space="0" w:color="auto"/>
        <w:right w:val="none" w:sz="0" w:space="0" w:color="auto"/>
      </w:divBdr>
    </w:div>
    <w:div w:id="1476991297">
      <w:bodyDiv w:val="1"/>
      <w:marLeft w:val="0"/>
      <w:marRight w:val="0"/>
      <w:marTop w:val="0"/>
      <w:marBottom w:val="0"/>
      <w:divBdr>
        <w:top w:val="none" w:sz="0" w:space="0" w:color="auto"/>
        <w:left w:val="none" w:sz="0" w:space="0" w:color="auto"/>
        <w:bottom w:val="none" w:sz="0" w:space="0" w:color="auto"/>
        <w:right w:val="none" w:sz="0" w:space="0" w:color="auto"/>
      </w:divBdr>
    </w:div>
    <w:div w:id="1488135025">
      <w:bodyDiv w:val="1"/>
      <w:marLeft w:val="0"/>
      <w:marRight w:val="0"/>
      <w:marTop w:val="0"/>
      <w:marBottom w:val="0"/>
      <w:divBdr>
        <w:top w:val="none" w:sz="0" w:space="0" w:color="auto"/>
        <w:left w:val="none" w:sz="0" w:space="0" w:color="auto"/>
        <w:bottom w:val="none" w:sz="0" w:space="0" w:color="auto"/>
        <w:right w:val="none" w:sz="0" w:space="0" w:color="auto"/>
      </w:divBdr>
    </w:div>
    <w:div w:id="1614827816">
      <w:bodyDiv w:val="1"/>
      <w:marLeft w:val="0"/>
      <w:marRight w:val="0"/>
      <w:marTop w:val="0"/>
      <w:marBottom w:val="0"/>
      <w:divBdr>
        <w:top w:val="none" w:sz="0" w:space="0" w:color="auto"/>
        <w:left w:val="none" w:sz="0" w:space="0" w:color="auto"/>
        <w:bottom w:val="none" w:sz="0" w:space="0" w:color="auto"/>
        <w:right w:val="none" w:sz="0" w:space="0" w:color="auto"/>
      </w:divBdr>
      <w:divsChild>
        <w:div w:id="210462703">
          <w:marLeft w:val="360"/>
          <w:marRight w:val="0"/>
          <w:marTop w:val="77"/>
          <w:marBottom w:val="0"/>
          <w:divBdr>
            <w:top w:val="none" w:sz="0" w:space="0" w:color="auto"/>
            <w:left w:val="none" w:sz="0" w:space="0" w:color="auto"/>
            <w:bottom w:val="none" w:sz="0" w:space="0" w:color="auto"/>
            <w:right w:val="none" w:sz="0" w:space="0" w:color="auto"/>
          </w:divBdr>
        </w:div>
        <w:div w:id="1825387070">
          <w:marLeft w:val="360"/>
          <w:marRight w:val="0"/>
          <w:marTop w:val="77"/>
          <w:marBottom w:val="0"/>
          <w:divBdr>
            <w:top w:val="none" w:sz="0" w:space="0" w:color="auto"/>
            <w:left w:val="none" w:sz="0" w:space="0" w:color="auto"/>
            <w:bottom w:val="none" w:sz="0" w:space="0" w:color="auto"/>
            <w:right w:val="none" w:sz="0" w:space="0" w:color="auto"/>
          </w:divBdr>
        </w:div>
        <w:div w:id="1150247196">
          <w:marLeft w:val="360"/>
          <w:marRight w:val="0"/>
          <w:marTop w:val="77"/>
          <w:marBottom w:val="0"/>
          <w:divBdr>
            <w:top w:val="none" w:sz="0" w:space="0" w:color="auto"/>
            <w:left w:val="none" w:sz="0" w:space="0" w:color="auto"/>
            <w:bottom w:val="none" w:sz="0" w:space="0" w:color="auto"/>
            <w:right w:val="none" w:sz="0" w:space="0" w:color="auto"/>
          </w:divBdr>
        </w:div>
        <w:div w:id="575557556">
          <w:marLeft w:val="360"/>
          <w:marRight w:val="0"/>
          <w:marTop w:val="77"/>
          <w:marBottom w:val="0"/>
          <w:divBdr>
            <w:top w:val="none" w:sz="0" w:space="0" w:color="auto"/>
            <w:left w:val="none" w:sz="0" w:space="0" w:color="auto"/>
            <w:bottom w:val="none" w:sz="0" w:space="0" w:color="auto"/>
            <w:right w:val="none" w:sz="0" w:space="0" w:color="auto"/>
          </w:divBdr>
        </w:div>
        <w:div w:id="1255240231">
          <w:marLeft w:val="360"/>
          <w:marRight w:val="0"/>
          <w:marTop w:val="77"/>
          <w:marBottom w:val="0"/>
          <w:divBdr>
            <w:top w:val="none" w:sz="0" w:space="0" w:color="auto"/>
            <w:left w:val="none" w:sz="0" w:space="0" w:color="auto"/>
            <w:bottom w:val="none" w:sz="0" w:space="0" w:color="auto"/>
            <w:right w:val="none" w:sz="0" w:space="0" w:color="auto"/>
          </w:divBdr>
        </w:div>
      </w:divsChild>
    </w:div>
    <w:div w:id="1620339057">
      <w:bodyDiv w:val="1"/>
      <w:marLeft w:val="0"/>
      <w:marRight w:val="0"/>
      <w:marTop w:val="0"/>
      <w:marBottom w:val="0"/>
      <w:divBdr>
        <w:top w:val="none" w:sz="0" w:space="0" w:color="auto"/>
        <w:left w:val="none" w:sz="0" w:space="0" w:color="auto"/>
        <w:bottom w:val="none" w:sz="0" w:space="0" w:color="auto"/>
        <w:right w:val="none" w:sz="0" w:space="0" w:color="auto"/>
      </w:divBdr>
    </w:div>
    <w:div w:id="1632663628">
      <w:bodyDiv w:val="1"/>
      <w:marLeft w:val="0"/>
      <w:marRight w:val="0"/>
      <w:marTop w:val="0"/>
      <w:marBottom w:val="0"/>
      <w:divBdr>
        <w:top w:val="none" w:sz="0" w:space="0" w:color="auto"/>
        <w:left w:val="none" w:sz="0" w:space="0" w:color="auto"/>
        <w:bottom w:val="none" w:sz="0" w:space="0" w:color="auto"/>
        <w:right w:val="none" w:sz="0" w:space="0" w:color="auto"/>
      </w:divBdr>
    </w:div>
    <w:div w:id="1706980299">
      <w:bodyDiv w:val="1"/>
      <w:marLeft w:val="0"/>
      <w:marRight w:val="0"/>
      <w:marTop w:val="0"/>
      <w:marBottom w:val="0"/>
      <w:divBdr>
        <w:top w:val="none" w:sz="0" w:space="0" w:color="auto"/>
        <w:left w:val="none" w:sz="0" w:space="0" w:color="auto"/>
        <w:bottom w:val="none" w:sz="0" w:space="0" w:color="auto"/>
        <w:right w:val="none" w:sz="0" w:space="0" w:color="auto"/>
      </w:divBdr>
    </w:div>
    <w:div w:id="1753357061">
      <w:bodyDiv w:val="1"/>
      <w:marLeft w:val="0"/>
      <w:marRight w:val="0"/>
      <w:marTop w:val="0"/>
      <w:marBottom w:val="0"/>
      <w:divBdr>
        <w:top w:val="none" w:sz="0" w:space="0" w:color="auto"/>
        <w:left w:val="none" w:sz="0" w:space="0" w:color="auto"/>
        <w:bottom w:val="none" w:sz="0" w:space="0" w:color="auto"/>
        <w:right w:val="none" w:sz="0" w:space="0" w:color="auto"/>
      </w:divBdr>
    </w:div>
    <w:div w:id="1835492686">
      <w:bodyDiv w:val="1"/>
      <w:marLeft w:val="0"/>
      <w:marRight w:val="0"/>
      <w:marTop w:val="0"/>
      <w:marBottom w:val="0"/>
      <w:divBdr>
        <w:top w:val="none" w:sz="0" w:space="0" w:color="auto"/>
        <w:left w:val="none" w:sz="0" w:space="0" w:color="auto"/>
        <w:bottom w:val="none" w:sz="0" w:space="0" w:color="auto"/>
        <w:right w:val="none" w:sz="0" w:space="0" w:color="auto"/>
      </w:divBdr>
    </w:div>
    <w:div w:id="1968393762">
      <w:bodyDiv w:val="1"/>
      <w:marLeft w:val="0"/>
      <w:marRight w:val="0"/>
      <w:marTop w:val="0"/>
      <w:marBottom w:val="0"/>
      <w:divBdr>
        <w:top w:val="none" w:sz="0" w:space="0" w:color="auto"/>
        <w:left w:val="none" w:sz="0" w:space="0" w:color="auto"/>
        <w:bottom w:val="none" w:sz="0" w:space="0" w:color="auto"/>
        <w:right w:val="none" w:sz="0" w:space="0" w:color="auto"/>
      </w:divBdr>
    </w:div>
    <w:div w:id="1970552592">
      <w:bodyDiv w:val="1"/>
      <w:marLeft w:val="0"/>
      <w:marRight w:val="0"/>
      <w:marTop w:val="0"/>
      <w:marBottom w:val="0"/>
      <w:divBdr>
        <w:top w:val="none" w:sz="0" w:space="0" w:color="auto"/>
        <w:left w:val="none" w:sz="0" w:space="0" w:color="auto"/>
        <w:bottom w:val="none" w:sz="0" w:space="0" w:color="auto"/>
        <w:right w:val="none" w:sz="0" w:space="0" w:color="auto"/>
      </w:divBdr>
    </w:div>
    <w:div w:id="2049185390">
      <w:bodyDiv w:val="1"/>
      <w:marLeft w:val="0"/>
      <w:marRight w:val="0"/>
      <w:marTop w:val="0"/>
      <w:marBottom w:val="0"/>
      <w:divBdr>
        <w:top w:val="none" w:sz="0" w:space="0" w:color="auto"/>
        <w:left w:val="none" w:sz="0" w:space="0" w:color="auto"/>
        <w:bottom w:val="none" w:sz="0" w:space="0" w:color="auto"/>
        <w:right w:val="none" w:sz="0" w:space="0" w:color="auto"/>
      </w:divBdr>
    </w:div>
    <w:div w:id="2049984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ssle\AppData\Local\Microsoft\Windows\Temporary%20Internet%20Files\Content.IE5\6ZQ6ANDU\eletter_withfootertemplate_1%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074D5E15D87B4287EB4CC5C6884238" ma:contentTypeVersion="19" ma:contentTypeDescription="Create a new document." ma:contentTypeScope="" ma:versionID="f5e411d256a8f3022d95c42e8c85f266">
  <xsd:schema xmlns:xsd="http://www.w3.org/2001/XMLSchema" xmlns:xs="http://www.w3.org/2001/XMLSchema" xmlns:p="http://schemas.microsoft.com/office/2006/metadata/properties" xmlns:ns2="994b435a-d7bb-41bb-b925-cbc31e22fe4c" xmlns:ns3="c0b63465-f60f-4548-92ac-d1d4374eb331" targetNamespace="http://schemas.microsoft.com/office/2006/metadata/properties" ma:root="true" ma:fieldsID="7aaf3e2a99f006e70043675e77d8f154" ns2:_="" ns3:_="">
    <xsd:import namespace="994b435a-d7bb-41bb-b925-cbc31e22fe4c"/>
    <xsd:import namespace="c0b63465-f60f-4548-92ac-d1d4374eb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b435a-d7bb-41bb-b925-cbc31e22f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63465-f60f-4548-92ac-d1d4374eb3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a2cb166-a575-4d02-a274-682d0d14735a}" ma:internalName="TaxCatchAll" ma:showField="CatchAllData" ma:web="c0b63465-f60f-4548-92ac-d1d4374eb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94b435a-d7bb-41bb-b925-cbc31e22fe4c">
      <Terms xmlns="http://schemas.microsoft.com/office/infopath/2007/PartnerControls"/>
    </lcf76f155ced4ddcb4097134ff3c332f>
    <TaxCatchAll xmlns="c0b63465-f60f-4548-92ac-d1d4374eb331" xsi:nil="true"/>
  </documentManagement>
</p:properties>
</file>

<file path=customXml/itemProps1.xml><?xml version="1.0" encoding="utf-8"?>
<ds:datastoreItem xmlns:ds="http://schemas.openxmlformats.org/officeDocument/2006/customXml" ds:itemID="{081809DC-4B93-4525-80D7-2AB1C8D55651}">
  <ds:schemaRefs>
    <ds:schemaRef ds:uri="http://schemas.openxmlformats.org/officeDocument/2006/bibliography"/>
  </ds:schemaRefs>
</ds:datastoreItem>
</file>

<file path=customXml/itemProps2.xml><?xml version="1.0" encoding="utf-8"?>
<ds:datastoreItem xmlns:ds="http://schemas.openxmlformats.org/officeDocument/2006/customXml" ds:itemID="{120D72D2-3B80-4AC2-98D5-04A6ECB17A2D}"/>
</file>

<file path=customXml/itemProps3.xml><?xml version="1.0" encoding="utf-8"?>
<ds:datastoreItem xmlns:ds="http://schemas.openxmlformats.org/officeDocument/2006/customXml" ds:itemID="{763D770F-00AC-49BF-9A40-0E39B308EC58}">
  <ds:schemaRefs>
    <ds:schemaRef ds:uri="http://schemas.microsoft.com/sharepoint/v3/contenttype/forms"/>
  </ds:schemaRefs>
</ds:datastoreItem>
</file>

<file path=customXml/itemProps4.xml><?xml version="1.0" encoding="utf-8"?>
<ds:datastoreItem xmlns:ds="http://schemas.openxmlformats.org/officeDocument/2006/customXml" ds:itemID="{64C80175-0A9E-47EA-9163-6C45EF42873A}">
  <ds:schemaRefs>
    <ds:schemaRef ds:uri="http://schemas.microsoft.com/office/2006/metadata/properties"/>
    <ds:schemaRef ds:uri="http://schemas.microsoft.com/office/infopath/2007/PartnerControls"/>
    <ds:schemaRef ds:uri="ca325e66-9716-4ef9-a1f3-c1d96ea52c18"/>
  </ds:schemaRefs>
</ds:datastoreItem>
</file>

<file path=docProps/app.xml><?xml version="1.0" encoding="utf-8"?>
<Properties xmlns="http://schemas.openxmlformats.org/officeDocument/2006/extended-properties" xmlns:vt="http://schemas.openxmlformats.org/officeDocument/2006/docPropsVTypes">
  <Template>eletter_withfootertemplate_1[1].dotx</Template>
  <TotalTime>5</TotalTime>
  <Pages>10</Pages>
  <Words>4291</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CAP</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kfassle</dc:creator>
  <cp:keywords/>
  <dc:description/>
  <cp:lastModifiedBy>Darren Fenwick (s)</cp:lastModifiedBy>
  <cp:revision>3</cp:revision>
  <cp:lastPrinted>2019-09-09T13:46:00Z</cp:lastPrinted>
  <dcterms:created xsi:type="dcterms:W3CDTF">2024-04-24T18:24:00Z</dcterms:created>
  <dcterms:modified xsi:type="dcterms:W3CDTF">2024-04-24T18:27:00Z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0x0101007D074D5E15D87B4287EB4CC5C6884238</vt:lpwstr>
  </property>
</Properties>
</file>