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103E" w14:textId="64D517A9" w:rsidR="00CA3343" w:rsidRPr="0077122A" w:rsidRDefault="004C1197" w:rsidP="0077122A">
      <w:pPr>
        <w:spacing w:after="0" w:line="276" w:lineRule="auto"/>
        <w:divId w:val="357776117"/>
        <w:rPr>
          <w:rFonts w:ascii="Arial" w:eastAsia="Times New Roman" w:hAnsi="Arial" w:cs="Arial"/>
          <w:b/>
          <w:bCs/>
          <w:sz w:val="30"/>
          <w:szCs w:val="30"/>
          <w:lang w:val="en"/>
        </w:rPr>
      </w:pPr>
      <w:r w:rsidRPr="0077122A">
        <w:rPr>
          <w:rFonts w:ascii="Arial" w:eastAsia="Times New Roman" w:hAnsi="Arial" w:cs="Arial"/>
          <w:b/>
          <w:bCs/>
          <w:sz w:val="30"/>
          <w:szCs w:val="30"/>
          <w:lang w:val="en"/>
        </w:rPr>
        <w:t xml:space="preserve">Protocol </w:t>
      </w:r>
      <w:r>
        <w:rPr>
          <w:rFonts w:ascii="Arial" w:eastAsia="Times New Roman" w:hAnsi="Arial" w:cs="Arial"/>
          <w:b/>
          <w:bCs/>
          <w:sz w:val="30"/>
          <w:szCs w:val="30"/>
          <w:lang w:val="en"/>
        </w:rPr>
        <w:t>f</w:t>
      </w:r>
      <w:r w:rsidRPr="0077122A">
        <w:rPr>
          <w:rFonts w:ascii="Arial" w:eastAsia="Times New Roman" w:hAnsi="Arial" w:cs="Arial"/>
          <w:b/>
          <w:bCs/>
          <w:sz w:val="30"/>
          <w:szCs w:val="30"/>
          <w:lang w:val="en"/>
        </w:rPr>
        <w:t xml:space="preserve">or </w:t>
      </w:r>
      <w:r>
        <w:rPr>
          <w:rFonts w:ascii="Arial" w:eastAsia="Times New Roman" w:hAnsi="Arial" w:cs="Arial"/>
          <w:b/>
          <w:bCs/>
          <w:sz w:val="30"/>
          <w:szCs w:val="30"/>
          <w:lang w:val="en"/>
        </w:rPr>
        <w:t>t</w:t>
      </w:r>
      <w:r w:rsidRPr="0077122A">
        <w:rPr>
          <w:rFonts w:ascii="Arial" w:eastAsia="Times New Roman" w:hAnsi="Arial" w:cs="Arial"/>
          <w:b/>
          <w:bCs/>
          <w:sz w:val="30"/>
          <w:szCs w:val="30"/>
          <w:lang w:val="en"/>
        </w:rPr>
        <w:t xml:space="preserve">he Examination </w:t>
      </w:r>
      <w:r>
        <w:rPr>
          <w:rFonts w:ascii="Arial" w:eastAsia="Times New Roman" w:hAnsi="Arial" w:cs="Arial"/>
          <w:b/>
          <w:bCs/>
          <w:sz w:val="30"/>
          <w:szCs w:val="30"/>
          <w:lang w:val="en"/>
        </w:rPr>
        <w:t>o</w:t>
      </w:r>
      <w:r w:rsidRPr="0077122A">
        <w:rPr>
          <w:rFonts w:ascii="Arial" w:eastAsia="Times New Roman" w:hAnsi="Arial" w:cs="Arial"/>
          <w:b/>
          <w:bCs/>
          <w:sz w:val="30"/>
          <w:szCs w:val="30"/>
          <w:lang w:val="en"/>
        </w:rPr>
        <w:t xml:space="preserve">f Specimens </w:t>
      </w:r>
      <w:r>
        <w:rPr>
          <w:rFonts w:ascii="Arial" w:eastAsia="Times New Roman" w:hAnsi="Arial" w:cs="Arial"/>
          <w:b/>
          <w:bCs/>
          <w:sz w:val="30"/>
          <w:szCs w:val="30"/>
          <w:lang w:val="en"/>
        </w:rPr>
        <w:t>fr</w:t>
      </w:r>
      <w:r w:rsidRPr="0077122A">
        <w:rPr>
          <w:rFonts w:ascii="Arial" w:eastAsia="Times New Roman" w:hAnsi="Arial" w:cs="Arial"/>
          <w:b/>
          <w:bCs/>
          <w:sz w:val="30"/>
          <w:szCs w:val="30"/>
          <w:lang w:val="en"/>
        </w:rPr>
        <w:t xml:space="preserve">om Patients </w:t>
      </w:r>
      <w:r>
        <w:rPr>
          <w:rFonts w:ascii="Arial" w:eastAsia="Times New Roman" w:hAnsi="Arial" w:cs="Arial"/>
          <w:b/>
          <w:bCs/>
          <w:sz w:val="30"/>
          <w:szCs w:val="30"/>
          <w:lang w:val="en"/>
        </w:rPr>
        <w:t>w</w:t>
      </w:r>
      <w:r w:rsidRPr="0077122A">
        <w:rPr>
          <w:rFonts w:ascii="Arial" w:eastAsia="Times New Roman" w:hAnsi="Arial" w:cs="Arial"/>
          <w:b/>
          <w:bCs/>
          <w:sz w:val="30"/>
          <w:szCs w:val="30"/>
          <w:lang w:val="en"/>
        </w:rPr>
        <w:t xml:space="preserve">ith Cutaneous Squamous Cell Carcinoma </w:t>
      </w:r>
      <w:r>
        <w:rPr>
          <w:rFonts w:ascii="Arial" w:eastAsia="Times New Roman" w:hAnsi="Arial" w:cs="Arial"/>
          <w:b/>
          <w:bCs/>
          <w:sz w:val="30"/>
          <w:szCs w:val="30"/>
          <w:lang w:val="en"/>
        </w:rPr>
        <w:t>o</w:t>
      </w:r>
      <w:r w:rsidRPr="0077122A">
        <w:rPr>
          <w:rFonts w:ascii="Arial" w:eastAsia="Times New Roman" w:hAnsi="Arial" w:cs="Arial"/>
          <w:b/>
          <w:bCs/>
          <w:sz w:val="30"/>
          <w:szCs w:val="30"/>
          <w:lang w:val="en"/>
        </w:rPr>
        <w:t xml:space="preserve">f </w:t>
      </w:r>
      <w:r>
        <w:rPr>
          <w:rFonts w:ascii="Arial" w:eastAsia="Times New Roman" w:hAnsi="Arial" w:cs="Arial"/>
          <w:b/>
          <w:bCs/>
          <w:sz w:val="30"/>
          <w:szCs w:val="30"/>
          <w:lang w:val="en"/>
        </w:rPr>
        <w:t>t</w:t>
      </w:r>
      <w:r w:rsidRPr="0077122A">
        <w:rPr>
          <w:rFonts w:ascii="Arial" w:eastAsia="Times New Roman" w:hAnsi="Arial" w:cs="Arial"/>
          <w:b/>
          <w:bCs/>
          <w:sz w:val="30"/>
          <w:szCs w:val="30"/>
          <w:lang w:val="en"/>
        </w:rPr>
        <w:t xml:space="preserve">he Head </w:t>
      </w:r>
      <w:r>
        <w:rPr>
          <w:rFonts w:ascii="Arial" w:eastAsia="Times New Roman" w:hAnsi="Arial" w:cs="Arial"/>
          <w:b/>
          <w:bCs/>
          <w:sz w:val="30"/>
          <w:szCs w:val="30"/>
          <w:lang w:val="en"/>
        </w:rPr>
        <w:t>a</w:t>
      </w:r>
      <w:r w:rsidRPr="0077122A">
        <w:rPr>
          <w:rFonts w:ascii="Arial" w:eastAsia="Times New Roman" w:hAnsi="Arial" w:cs="Arial"/>
          <w:b/>
          <w:bCs/>
          <w:sz w:val="30"/>
          <w:szCs w:val="30"/>
          <w:lang w:val="en"/>
        </w:rPr>
        <w:t>nd Neck</w:t>
      </w:r>
    </w:p>
    <w:p w14:paraId="76492224"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6EAFB696" w14:textId="77777777" w:rsidR="00CA3343" w:rsidRPr="0077122A" w:rsidRDefault="00FB191C" w:rsidP="0077122A">
      <w:pPr>
        <w:spacing w:after="0" w:line="276" w:lineRule="auto"/>
        <w:divId w:val="1673557552"/>
        <w:rPr>
          <w:rFonts w:ascii="Arial" w:eastAsia="Times New Roman" w:hAnsi="Arial" w:cs="Arial"/>
          <w:sz w:val="20"/>
          <w:szCs w:val="20"/>
          <w:lang w:val="en"/>
        </w:rPr>
      </w:pPr>
      <w:r w:rsidRPr="0077122A">
        <w:rPr>
          <w:rFonts w:ascii="Arial" w:eastAsia="Times New Roman" w:hAnsi="Arial" w:cs="Arial"/>
          <w:b/>
          <w:bCs/>
          <w:sz w:val="20"/>
          <w:szCs w:val="20"/>
          <w:lang w:val="en"/>
        </w:rPr>
        <w:t xml:space="preserve">Version: </w:t>
      </w:r>
      <w:r w:rsidRPr="0077122A">
        <w:rPr>
          <w:rFonts w:ascii="Arial" w:eastAsia="Times New Roman" w:hAnsi="Arial" w:cs="Arial"/>
          <w:sz w:val="20"/>
          <w:szCs w:val="20"/>
          <w:lang w:val="en"/>
        </w:rPr>
        <w:t>1.0.0.0</w:t>
      </w:r>
    </w:p>
    <w:p w14:paraId="65FC8DE7" w14:textId="77777777" w:rsidR="00CA3343" w:rsidRPr="0077122A" w:rsidRDefault="00FB191C" w:rsidP="0077122A">
      <w:pPr>
        <w:spacing w:after="0" w:line="276" w:lineRule="auto"/>
        <w:divId w:val="1194417328"/>
        <w:rPr>
          <w:rFonts w:ascii="Arial" w:eastAsia="Times New Roman" w:hAnsi="Arial" w:cs="Arial"/>
          <w:sz w:val="20"/>
          <w:szCs w:val="20"/>
          <w:lang w:val="en"/>
        </w:rPr>
      </w:pPr>
      <w:r w:rsidRPr="0077122A">
        <w:rPr>
          <w:rFonts w:ascii="Arial" w:eastAsia="Times New Roman" w:hAnsi="Arial" w:cs="Arial"/>
          <w:b/>
          <w:bCs/>
          <w:sz w:val="20"/>
          <w:szCs w:val="20"/>
          <w:lang w:val="en"/>
        </w:rPr>
        <w:t xml:space="preserve">Protocol Posting Date: </w:t>
      </w:r>
      <w:r w:rsidRPr="0077122A">
        <w:rPr>
          <w:rFonts w:ascii="Arial" w:eastAsia="Times New Roman" w:hAnsi="Arial" w:cs="Arial"/>
          <w:sz w:val="20"/>
          <w:szCs w:val="20"/>
          <w:lang w:val="en"/>
        </w:rPr>
        <w:t xml:space="preserve">June 2022 </w:t>
      </w:r>
    </w:p>
    <w:p w14:paraId="24DCC909" w14:textId="77777777" w:rsidR="00CA3343" w:rsidRPr="0077122A" w:rsidRDefault="00FB191C" w:rsidP="0077122A">
      <w:pPr>
        <w:spacing w:after="0" w:line="276" w:lineRule="auto"/>
        <w:divId w:val="1880630485"/>
        <w:rPr>
          <w:rFonts w:ascii="Arial" w:eastAsia="Times New Roman" w:hAnsi="Arial" w:cs="Arial"/>
          <w:sz w:val="20"/>
          <w:szCs w:val="20"/>
          <w:lang w:val="en"/>
        </w:rPr>
      </w:pPr>
      <w:r w:rsidRPr="0077122A">
        <w:rPr>
          <w:rFonts w:ascii="Arial" w:eastAsia="Times New Roman" w:hAnsi="Arial" w:cs="Arial"/>
          <w:b/>
          <w:bCs/>
          <w:sz w:val="20"/>
          <w:szCs w:val="20"/>
          <w:lang w:val="en"/>
        </w:rPr>
        <w:t xml:space="preserve">CAP Laboratory Accreditation Program Protocol Required Use Date: </w:t>
      </w:r>
      <w:r w:rsidRPr="0077122A">
        <w:rPr>
          <w:rFonts w:ascii="Arial" w:eastAsia="Times New Roman" w:hAnsi="Arial" w:cs="Arial"/>
          <w:sz w:val="20"/>
          <w:szCs w:val="20"/>
          <w:lang w:val="en"/>
        </w:rPr>
        <w:t>March 2023</w:t>
      </w:r>
    </w:p>
    <w:p w14:paraId="45192A3F" w14:textId="77777777" w:rsidR="00CA3343" w:rsidRPr="0077122A" w:rsidRDefault="00FB191C" w:rsidP="0077122A">
      <w:pPr>
        <w:spacing w:after="0" w:line="276" w:lineRule="auto"/>
        <w:divId w:val="131677920"/>
        <w:rPr>
          <w:rFonts w:ascii="Arial" w:eastAsia="Times New Roman" w:hAnsi="Arial" w:cs="Arial"/>
          <w:sz w:val="20"/>
          <w:szCs w:val="20"/>
          <w:lang w:val="en"/>
        </w:rPr>
      </w:pPr>
      <w:r w:rsidRPr="0077122A">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717693C4" w14:textId="77777777" w:rsidR="00CA3343" w:rsidRPr="0077122A" w:rsidRDefault="00FB191C" w:rsidP="0077122A">
      <w:pPr>
        <w:spacing w:after="0" w:line="276" w:lineRule="auto"/>
        <w:divId w:val="1031222433"/>
        <w:rPr>
          <w:rFonts w:ascii="Arial" w:hAnsi="Arial" w:cs="Arial"/>
          <w:sz w:val="20"/>
          <w:szCs w:val="20"/>
          <w:lang w:val="en"/>
        </w:rPr>
      </w:pPr>
      <w:r w:rsidRPr="0077122A">
        <w:rPr>
          <w:rStyle w:val="Strong"/>
          <w:rFonts w:ascii="Arial" w:hAnsi="Arial" w:cs="Arial"/>
          <w:sz w:val="20"/>
          <w:szCs w:val="20"/>
          <w:lang w:val="en"/>
        </w:rPr>
        <w:t>For accreditation purposes, this protocol should be used for the following procedures AND tumor types:</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90"/>
        <w:gridCol w:w="6560"/>
      </w:tblGrid>
      <w:tr w:rsidR="00CA3343" w:rsidRPr="0077122A" w14:paraId="16C2BE5F" w14:textId="77777777" w:rsidTr="0077122A">
        <w:trPr>
          <w:divId w:val="1031222433"/>
          <w:trHeight w:val="32"/>
        </w:trPr>
        <w:tc>
          <w:tcPr>
            <w:tcW w:w="1492" w:type="pct"/>
            <w:tcBorders>
              <w:top w:val="single" w:sz="4" w:space="0" w:color="auto"/>
              <w:left w:val="single" w:sz="4" w:space="0" w:color="auto"/>
              <w:bottom w:val="single" w:sz="4" w:space="0" w:color="auto"/>
              <w:right w:val="single" w:sz="4" w:space="0" w:color="auto"/>
            </w:tcBorders>
            <w:shd w:val="clear" w:color="auto" w:fill="C0C0C0"/>
            <w:hideMark/>
          </w:tcPr>
          <w:p w14:paraId="6D0FC115" w14:textId="77777777" w:rsidR="00CA3343" w:rsidRPr="0077122A" w:rsidRDefault="00FB191C" w:rsidP="0077122A">
            <w:pPr>
              <w:spacing w:after="0" w:line="276" w:lineRule="auto"/>
              <w:rPr>
                <w:rFonts w:ascii="Arial" w:hAnsi="Arial" w:cs="Arial"/>
                <w:sz w:val="18"/>
                <w:szCs w:val="18"/>
              </w:rPr>
            </w:pPr>
            <w:r w:rsidRPr="0077122A">
              <w:rPr>
                <w:rStyle w:val="Strong"/>
                <w:rFonts w:ascii="Arial" w:hAnsi="Arial" w:cs="Arial"/>
                <w:sz w:val="18"/>
                <w:szCs w:val="18"/>
              </w:rPr>
              <w:t>Procedure</w:t>
            </w:r>
          </w:p>
        </w:tc>
        <w:tc>
          <w:tcPr>
            <w:tcW w:w="3508" w:type="pct"/>
            <w:tcBorders>
              <w:top w:val="single" w:sz="4" w:space="0" w:color="auto"/>
              <w:left w:val="single" w:sz="4" w:space="0" w:color="auto"/>
              <w:bottom w:val="single" w:sz="4" w:space="0" w:color="auto"/>
              <w:right w:val="single" w:sz="4" w:space="0" w:color="auto"/>
            </w:tcBorders>
            <w:shd w:val="clear" w:color="auto" w:fill="C0C0C0"/>
            <w:hideMark/>
          </w:tcPr>
          <w:p w14:paraId="106F3EA3" w14:textId="77777777" w:rsidR="00CA3343" w:rsidRPr="0077122A" w:rsidRDefault="00FB191C" w:rsidP="0077122A">
            <w:pPr>
              <w:spacing w:after="0" w:line="276" w:lineRule="auto"/>
              <w:rPr>
                <w:rFonts w:ascii="Arial" w:hAnsi="Arial" w:cs="Arial"/>
                <w:sz w:val="18"/>
                <w:szCs w:val="18"/>
              </w:rPr>
            </w:pPr>
            <w:r w:rsidRPr="0077122A">
              <w:rPr>
                <w:rStyle w:val="Strong"/>
                <w:rFonts w:ascii="Arial" w:hAnsi="Arial" w:cs="Arial"/>
                <w:sz w:val="18"/>
                <w:szCs w:val="18"/>
              </w:rPr>
              <w:t>Description</w:t>
            </w:r>
          </w:p>
        </w:tc>
      </w:tr>
      <w:tr w:rsidR="00CA3343" w:rsidRPr="0077122A" w14:paraId="1C4AC522" w14:textId="77777777" w:rsidTr="0077122A">
        <w:trPr>
          <w:divId w:val="1031222433"/>
          <w:trHeight w:val="32"/>
        </w:trPr>
        <w:tc>
          <w:tcPr>
            <w:tcW w:w="1492" w:type="pct"/>
            <w:tcBorders>
              <w:top w:val="single" w:sz="4" w:space="0" w:color="auto"/>
              <w:left w:val="single" w:sz="4" w:space="0" w:color="auto"/>
              <w:bottom w:val="single" w:sz="4" w:space="0" w:color="auto"/>
              <w:right w:val="single" w:sz="4" w:space="0" w:color="auto"/>
            </w:tcBorders>
            <w:hideMark/>
          </w:tcPr>
          <w:p w14:paraId="480DFD1B" w14:textId="77777777" w:rsidR="00CA3343" w:rsidRPr="0077122A" w:rsidRDefault="00FB191C" w:rsidP="0077122A">
            <w:pPr>
              <w:spacing w:after="0" w:line="276" w:lineRule="auto"/>
              <w:rPr>
                <w:rFonts w:ascii="Arial" w:hAnsi="Arial" w:cs="Arial"/>
                <w:sz w:val="18"/>
                <w:szCs w:val="18"/>
              </w:rPr>
            </w:pPr>
            <w:r w:rsidRPr="0077122A">
              <w:rPr>
                <w:rFonts w:ascii="Arial" w:hAnsi="Arial" w:cs="Arial"/>
                <w:sz w:val="18"/>
                <w:szCs w:val="18"/>
              </w:rPr>
              <w:t>Resection</w:t>
            </w:r>
          </w:p>
        </w:tc>
        <w:tc>
          <w:tcPr>
            <w:tcW w:w="3508" w:type="pct"/>
            <w:tcBorders>
              <w:top w:val="single" w:sz="4" w:space="0" w:color="auto"/>
              <w:left w:val="single" w:sz="4" w:space="0" w:color="auto"/>
              <w:bottom w:val="single" w:sz="4" w:space="0" w:color="auto"/>
              <w:right w:val="single" w:sz="4" w:space="0" w:color="auto"/>
            </w:tcBorders>
            <w:hideMark/>
          </w:tcPr>
          <w:p w14:paraId="5BB3D04B" w14:textId="77777777" w:rsidR="00CA3343" w:rsidRPr="0077122A" w:rsidRDefault="00FB191C" w:rsidP="0077122A">
            <w:pPr>
              <w:spacing w:after="0" w:line="276" w:lineRule="auto"/>
              <w:rPr>
                <w:rFonts w:ascii="Arial" w:hAnsi="Arial" w:cs="Arial"/>
                <w:sz w:val="18"/>
                <w:szCs w:val="18"/>
              </w:rPr>
            </w:pPr>
            <w:r w:rsidRPr="0077122A">
              <w:rPr>
                <w:rFonts w:ascii="Arial" w:hAnsi="Arial" w:cs="Arial"/>
                <w:sz w:val="18"/>
                <w:szCs w:val="18"/>
              </w:rPr>
              <w:t>Includes wide local excisions and craniofacial resections</w:t>
            </w:r>
          </w:p>
        </w:tc>
      </w:tr>
      <w:tr w:rsidR="00CA3343" w:rsidRPr="0077122A" w14:paraId="1FD7507E" w14:textId="77777777" w:rsidTr="0077122A">
        <w:trPr>
          <w:divId w:val="1031222433"/>
          <w:trHeight w:val="32"/>
        </w:trPr>
        <w:tc>
          <w:tcPr>
            <w:tcW w:w="1492" w:type="pct"/>
            <w:tcBorders>
              <w:top w:val="single" w:sz="4" w:space="0" w:color="auto"/>
              <w:left w:val="single" w:sz="4" w:space="0" w:color="auto"/>
              <w:bottom w:val="single" w:sz="4" w:space="0" w:color="auto"/>
              <w:right w:val="single" w:sz="4" w:space="0" w:color="auto"/>
            </w:tcBorders>
            <w:shd w:val="clear" w:color="auto" w:fill="C0C0C0"/>
            <w:hideMark/>
          </w:tcPr>
          <w:p w14:paraId="7B7974CD" w14:textId="77777777" w:rsidR="00CA3343" w:rsidRPr="0077122A" w:rsidRDefault="00FB191C" w:rsidP="0077122A">
            <w:pPr>
              <w:spacing w:after="0" w:line="276" w:lineRule="auto"/>
              <w:rPr>
                <w:rFonts w:ascii="Arial" w:hAnsi="Arial" w:cs="Arial"/>
                <w:sz w:val="18"/>
                <w:szCs w:val="18"/>
              </w:rPr>
            </w:pPr>
            <w:r w:rsidRPr="0077122A">
              <w:rPr>
                <w:rStyle w:val="Strong"/>
                <w:rFonts w:ascii="Arial" w:hAnsi="Arial" w:cs="Arial"/>
                <w:sz w:val="18"/>
                <w:szCs w:val="18"/>
              </w:rPr>
              <w:t>Tumor Type</w:t>
            </w:r>
          </w:p>
        </w:tc>
        <w:tc>
          <w:tcPr>
            <w:tcW w:w="3508" w:type="pct"/>
            <w:tcBorders>
              <w:top w:val="single" w:sz="4" w:space="0" w:color="auto"/>
              <w:left w:val="single" w:sz="4" w:space="0" w:color="auto"/>
              <w:bottom w:val="single" w:sz="4" w:space="0" w:color="auto"/>
              <w:right w:val="single" w:sz="4" w:space="0" w:color="auto"/>
            </w:tcBorders>
            <w:shd w:val="clear" w:color="auto" w:fill="C0C0C0"/>
            <w:hideMark/>
          </w:tcPr>
          <w:p w14:paraId="7D82D94D" w14:textId="77777777" w:rsidR="00CA3343" w:rsidRPr="0077122A" w:rsidRDefault="00FB191C" w:rsidP="0077122A">
            <w:pPr>
              <w:spacing w:after="0" w:line="276" w:lineRule="auto"/>
              <w:rPr>
                <w:rFonts w:ascii="Arial" w:hAnsi="Arial" w:cs="Arial"/>
                <w:sz w:val="18"/>
                <w:szCs w:val="18"/>
              </w:rPr>
            </w:pPr>
            <w:r w:rsidRPr="0077122A">
              <w:rPr>
                <w:rStyle w:val="Strong"/>
                <w:rFonts w:ascii="Arial" w:hAnsi="Arial" w:cs="Arial"/>
                <w:sz w:val="18"/>
                <w:szCs w:val="18"/>
              </w:rPr>
              <w:t>Description</w:t>
            </w:r>
          </w:p>
        </w:tc>
      </w:tr>
      <w:tr w:rsidR="00CA3343" w:rsidRPr="0077122A" w14:paraId="2DAD41A1" w14:textId="77777777" w:rsidTr="0077122A">
        <w:trPr>
          <w:divId w:val="1031222433"/>
          <w:trHeight w:val="32"/>
        </w:trPr>
        <w:tc>
          <w:tcPr>
            <w:tcW w:w="1492" w:type="pct"/>
            <w:tcBorders>
              <w:top w:val="single" w:sz="4" w:space="0" w:color="auto"/>
              <w:left w:val="single" w:sz="4" w:space="0" w:color="auto"/>
              <w:bottom w:val="single" w:sz="4" w:space="0" w:color="auto"/>
              <w:right w:val="single" w:sz="4" w:space="0" w:color="auto"/>
            </w:tcBorders>
            <w:hideMark/>
          </w:tcPr>
          <w:p w14:paraId="2237AC72" w14:textId="77777777" w:rsidR="00CA3343" w:rsidRPr="0077122A" w:rsidRDefault="00FB191C" w:rsidP="0077122A">
            <w:pPr>
              <w:spacing w:after="0" w:line="276" w:lineRule="auto"/>
              <w:rPr>
                <w:rFonts w:ascii="Arial" w:hAnsi="Arial" w:cs="Arial"/>
                <w:sz w:val="18"/>
                <w:szCs w:val="18"/>
              </w:rPr>
            </w:pPr>
            <w:r w:rsidRPr="0077122A">
              <w:rPr>
                <w:rFonts w:ascii="Arial" w:hAnsi="Arial" w:cs="Arial"/>
                <w:sz w:val="18"/>
                <w:szCs w:val="18"/>
              </w:rPr>
              <w:t>Carcinoma</w:t>
            </w:r>
          </w:p>
        </w:tc>
        <w:tc>
          <w:tcPr>
            <w:tcW w:w="3508" w:type="pct"/>
            <w:tcBorders>
              <w:top w:val="single" w:sz="4" w:space="0" w:color="auto"/>
              <w:left w:val="single" w:sz="4" w:space="0" w:color="auto"/>
              <w:bottom w:val="single" w:sz="4" w:space="0" w:color="auto"/>
              <w:right w:val="single" w:sz="4" w:space="0" w:color="auto"/>
            </w:tcBorders>
            <w:hideMark/>
          </w:tcPr>
          <w:p w14:paraId="4CDF4D82" w14:textId="77777777" w:rsidR="00CA3343" w:rsidRPr="0077122A" w:rsidRDefault="00FB191C" w:rsidP="0077122A">
            <w:pPr>
              <w:spacing w:after="0" w:line="276" w:lineRule="auto"/>
              <w:rPr>
                <w:rFonts w:ascii="Arial" w:hAnsi="Arial" w:cs="Arial"/>
                <w:sz w:val="18"/>
                <w:szCs w:val="18"/>
              </w:rPr>
            </w:pPr>
            <w:r w:rsidRPr="0077122A">
              <w:rPr>
                <w:rFonts w:ascii="Arial" w:hAnsi="Arial" w:cs="Arial"/>
                <w:sz w:val="18"/>
                <w:szCs w:val="18"/>
              </w:rPr>
              <w:t>Includes ONLY N+, and pT3 and pT4 cutaneous squamous cell carcinoma including squamous cell carcinomas of dry vermillion lip and commissure</w:t>
            </w:r>
          </w:p>
        </w:tc>
      </w:tr>
    </w:tbl>
    <w:p w14:paraId="72AB2F4E" w14:textId="77777777" w:rsidR="0077122A" w:rsidRDefault="0077122A" w:rsidP="0077122A">
      <w:pPr>
        <w:pStyle w:val="NormalWeb"/>
        <w:spacing w:before="0" w:beforeAutospacing="0" w:after="0" w:afterAutospacing="0" w:line="276" w:lineRule="auto"/>
        <w:divId w:val="1031222433"/>
        <w:rPr>
          <w:rStyle w:val="Strong"/>
          <w:rFonts w:ascii="Arial" w:hAnsi="Arial" w:cs="Arial"/>
          <w:sz w:val="20"/>
          <w:szCs w:val="20"/>
          <w:lang w:val="en"/>
        </w:rPr>
      </w:pPr>
    </w:p>
    <w:p w14:paraId="6ABB8950" w14:textId="1DB638BB" w:rsidR="00CA3343" w:rsidRPr="0077122A" w:rsidRDefault="00FB191C" w:rsidP="0077122A">
      <w:pPr>
        <w:pStyle w:val="NormalWeb"/>
        <w:spacing w:before="0" w:beforeAutospacing="0" w:after="0" w:afterAutospacing="0" w:line="276" w:lineRule="auto"/>
        <w:divId w:val="1031222433"/>
        <w:rPr>
          <w:rFonts w:ascii="Arial" w:hAnsi="Arial" w:cs="Arial"/>
          <w:sz w:val="20"/>
          <w:szCs w:val="20"/>
          <w:lang w:val="en"/>
        </w:rPr>
      </w:pPr>
      <w:r w:rsidRPr="0077122A">
        <w:rPr>
          <w:rStyle w:val="Strong"/>
          <w:rFonts w:ascii="Arial" w:hAnsi="Arial" w:cs="Arial"/>
          <w:sz w:val="20"/>
          <w:szCs w:val="20"/>
          <w:lang w:val="en"/>
        </w:rPr>
        <w:t xml:space="preserve">This protocol is NOT required </w:t>
      </w:r>
      <w:r w:rsidRPr="0077122A">
        <w:rPr>
          <w:rStyle w:val="Strong"/>
          <w:rFonts w:ascii="Arial" w:hAnsi="Arial" w:cs="Arial"/>
          <w:color w:val="000000"/>
          <w:sz w:val="20"/>
          <w:szCs w:val="20"/>
          <w:lang w:val="en"/>
        </w:rPr>
        <w:t xml:space="preserve">for accreditation purposes </w:t>
      </w:r>
      <w:r w:rsidRPr="0077122A">
        <w:rPr>
          <w:rStyle w:val="Strong"/>
          <w:rFonts w:ascii="Arial" w:hAnsi="Arial" w:cs="Arial"/>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CA3343" w:rsidRPr="0077122A" w14:paraId="20140846" w14:textId="77777777" w:rsidTr="0077122A">
        <w:trPr>
          <w:divId w:val="1031222433"/>
          <w:trHeight w:val="25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78FBB5F" w14:textId="77777777" w:rsidR="00CA3343" w:rsidRPr="0077122A" w:rsidRDefault="00FB191C" w:rsidP="0077122A">
            <w:pPr>
              <w:spacing w:after="0" w:line="276" w:lineRule="auto"/>
              <w:rPr>
                <w:rFonts w:ascii="Arial" w:hAnsi="Arial" w:cs="Arial"/>
                <w:sz w:val="18"/>
                <w:szCs w:val="18"/>
              </w:rPr>
            </w:pPr>
            <w:r w:rsidRPr="0077122A">
              <w:rPr>
                <w:rStyle w:val="Strong"/>
                <w:rFonts w:ascii="Arial" w:hAnsi="Arial" w:cs="Arial"/>
                <w:sz w:val="18"/>
                <w:szCs w:val="18"/>
              </w:rPr>
              <w:t>Procedure</w:t>
            </w:r>
          </w:p>
        </w:tc>
      </w:tr>
      <w:tr w:rsidR="00CA3343" w:rsidRPr="0077122A" w14:paraId="5A605446" w14:textId="77777777" w:rsidTr="0077122A">
        <w:trPr>
          <w:divId w:val="1031222433"/>
          <w:trHeight w:val="184"/>
        </w:trPr>
        <w:tc>
          <w:tcPr>
            <w:tcW w:w="5000" w:type="pct"/>
            <w:tcBorders>
              <w:top w:val="single" w:sz="4" w:space="0" w:color="auto"/>
              <w:left w:val="single" w:sz="4" w:space="0" w:color="auto"/>
              <w:bottom w:val="single" w:sz="4" w:space="0" w:color="auto"/>
              <w:right w:val="single" w:sz="4" w:space="0" w:color="auto"/>
            </w:tcBorders>
            <w:hideMark/>
          </w:tcPr>
          <w:p w14:paraId="3B8E3A53" w14:textId="77777777" w:rsidR="00CA3343" w:rsidRPr="0077122A" w:rsidRDefault="00FB191C" w:rsidP="0077122A">
            <w:pPr>
              <w:spacing w:after="0" w:line="276" w:lineRule="auto"/>
              <w:rPr>
                <w:rFonts w:ascii="Arial" w:hAnsi="Arial" w:cs="Arial"/>
                <w:sz w:val="18"/>
                <w:szCs w:val="18"/>
              </w:rPr>
            </w:pPr>
            <w:r w:rsidRPr="0077122A">
              <w:rPr>
                <w:rFonts w:ascii="Arial" w:hAnsi="Arial" w:cs="Arial"/>
                <w:sz w:val="18"/>
                <w:szCs w:val="18"/>
              </w:rPr>
              <w:t>Biopsy</w:t>
            </w:r>
          </w:p>
        </w:tc>
      </w:tr>
      <w:tr w:rsidR="00CA3343" w:rsidRPr="0077122A" w14:paraId="2994B291" w14:textId="77777777" w:rsidTr="0077122A">
        <w:trPr>
          <w:divId w:val="1031222433"/>
          <w:trHeight w:val="184"/>
        </w:trPr>
        <w:tc>
          <w:tcPr>
            <w:tcW w:w="5000" w:type="pct"/>
            <w:tcBorders>
              <w:top w:val="single" w:sz="4" w:space="0" w:color="auto"/>
              <w:left w:val="single" w:sz="4" w:space="0" w:color="auto"/>
              <w:bottom w:val="single" w:sz="4" w:space="0" w:color="auto"/>
              <w:right w:val="single" w:sz="4" w:space="0" w:color="auto"/>
            </w:tcBorders>
            <w:hideMark/>
          </w:tcPr>
          <w:p w14:paraId="3C8DDE44" w14:textId="77777777" w:rsidR="00CA3343" w:rsidRPr="0077122A" w:rsidRDefault="00FB191C" w:rsidP="0077122A">
            <w:pPr>
              <w:spacing w:after="0" w:line="276" w:lineRule="auto"/>
              <w:rPr>
                <w:rFonts w:ascii="Arial" w:hAnsi="Arial" w:cs="Arial"/>
                <w:sz w:val="18"/>
                <w:szCs w:val="18"/>
              </w:rPr>
            </w:pPr>
            <w:r w:rsidRPr="0077122A">
              <w:rPr>
                <w:rFonts w:ascii="Arial" w:hAnsi="Arial" w:cs="Arial"/>
                <w:sz w:val="18"/>
                <w:szCs w:val="18"/>
              </w:rPr>
              <w:t>Primary resection specimen with no residual cancer (eg, following neoadjuvant therapy)</w:t>
            </w:r>
          </w:p>
        </w:tc>
      </w:tr>
      <w:tr w:rsidR="00CA3343" w:rsidRPr="0077122A" w14:paraId="520BF40F" w14:textId="77777777" w:rsidTr="0077122A">
        <w:trPr>
          <w:divId w:val="1031222433"/>
          <w:trHeight w:val="184"/>
        </w:trPr>
        <w:tc>
          <w:tcPr>
            <w:tcW w:w="5000" w:type="pct"/>
            <w:tcBorders>
              <w:top w:val="single" w:sz="4" w:space="0" w:color="auto"/>
              <w:left w:val="single" w:sz="4" w:space="0" w:color="auto"/>
              <w:bottom w:val="single" w:sz="4" w:space="0" w:color="auto"/>
              <w:right w:val="single" w:sz="4" w:space="0" w:color="auto"/>
            </w:tcBorders>
            <w:hideMark/>
          </w:tcPr>
          <w:p w14:paraId="489332AD" w14:textId="77777777" w:rsidR="00CA3343" w:rsidRPr="0077122A" w:rsidRDefault="00FB191C" w:rsidP="0077122A">
            <w:pPr>
              <w:spacing w:after="0" w:line="276" w:lineRule="auto"/>
              <w:rPr>
                <w:rFonts w:ascii="Arial" w:hAnsi="Arial" w:cs="Arial"/>
                <w:sz w:val="18"/>
                <w:szCs w:val="18"/>
              </w:rPr>
            </w:pPr>
            <w:r w:rsidRPr="0077122A">
              <w:rPr>
                <w:rFonts w:ascii="Arial" w:hAnsi="Arial" w:cs="Arial"/>
                <w:sz w:val="18"/>
                <w:szCs w:val="18"/>
              </w:rPr>
              <w:t>Cytologic specimens</w:t>
            </w:r>
          </w:p>
        </w:tc>
      </w:tr>
      <w:tr w:rsidR="00CA3343" w:rsidRPr="0077122A" w14:paraId="77971423" w14:textId="77777777" w:rsidTr="0077122A">
        <w:trPr>
          <w:divId w:val="1031222433"/>
          <w:trHeight w:val="184"/>
        </w:trPr>
        <w:tc>
          <w:tcPr>
            <w:tcW w:w="5000" w:type="pct"/>
            <w:tcBorders>
              <w:top w:val="single" w:sz="4" w:space="0" w:color="auto"/>
              <w:left w:val="single" w:sz="4" w:space="0" w:color="auto"/>
              <w:bottom w:val="single" w:sz="4" w:space="0" w:color="auto"/>
              <w:right w:val="single" w:sz="4" w:space="0" w:color="auto"/>
            </w:tcBorders>
            <w:hideMark/>
          </w:tcPr>
          <w:p w14:paraId="2F9EBBCA" w14:textId="77777777" w:rsidR="00CA3343" w:rsidRPr="0077122A" w:rsidRDefault="00FB191C" w:rsidP="0077122A">
            <w:pPr>
              <w:spacing w:after="0" w:line="276" w:lineRule="auto"/>
              <w:rPr>
                <w:rFonts w:ascii="Arial" w:hAnsi="Arial" w:cs="Arial"/>
                <w:sz w:val="18"/>
                <w:szCs w:val="18"/>
              </w:rPr>
            </w:pPr>
            <w:r w:rsidRPr="0077122A">
              <w:rPr>
                <w:rFonts w:ascii="Arial" w:hAnsi="Arial" w:cs="Arial"/>
                <w:sz w:val="18"/>
                <w:szCs w:val="18"/>
              </w:rPr>
              <w:t>Early-stage cutaneous squamous cell carcinomas (N-, and pT1 and pT2 cutaneous squamous cell carcinomas)</w:t>
            </w:r>
          </w:p>
        </w:tc>
      </w:tr>
      <w:tr w:rsidR="00CA3343" w:rsidRPr="0077122A" w14:paraId="02307A12" w14:textId="77777777" w:rsidTr="0077122A">
        <w:trPr>
          <w:divId w:val="1031222433"/>
          <w:trHeight w:val="184"/>
        </w:trPr>
        <w:tc>
          <w:tcPr>
            <w:tcW w:w="5000" w:type="pct"/>
            <w:tcBorders>
              <w:top w:val="single" w:sz="4" w:space="0" w:color="auto"/>
              <w:left w:val="single" w:sz="4" w:space="0" w:color="auto"/>
              <w:bottom w:val="single" w:sz="4" w:space="0" w:color="auto"/>
              <w:right w:val="single" w:sz="4" w:space="0" w:color="auto"/>
            </w:tcBorders>
            <w:hideMark/>
          </w:tcPr>
          <w:p w14:paraId="79EC8829" w14:textId="77777777" w:rsidR="00CA3343" w:rsidRPr="0077122A" w:rsidRDefault="00FB191C" w:rsidP="0077122A">
            <w:pPr>
              <w:spacing w:after="0" w:line="276" w:lineRule="auto"/>
              <w:rPr>
                <w:rFonts w:ascii="Arial" w:hAnsi="Arial" w:cs="Arial"/>
                <w:sz w:val="18"/>
                <w:szCs w:val="18"/>
              </w:rPr>
            </w:pPr>
            <w:r w:rsidRPr="0077122A">
              <w:rPr>
                <w:rFonts w:ascii="Arial" w:hAnsi="Arial" w:cs="Arial"/>
                <w:sz w:val="18"/>
                <w:szCs w:val="18"/>
              </w:rPr>
              <w:t>Non-squamous cell carcinomas of the skin</w:t>
            </w:r>
          </w:p>
        </w:tc>
      </w:tr>
    </w:tbl>
    <w:p w14:paraId="1415C7C5" w14:textId="77777777" w:rsidR="0077122A" w:rsidRDefault="0077122A" w:rsidP="0077122A">
      <w:pPr>
        <w:spacing w:after="0" w:line="276" w:lineRule="auto"/>
        <w:divId w:val="1031222433"/>
        <w:rPr>
          <w:rStyle w:val="Strong"/>
          <w:rFonts w:ascii="Arial" w:hAnsi="Arial" w:cs="Arial"/>
          <w:bCs w:val="0"/>
          <w:sz w:val="20"/>
          <w:szCs w:val="20"/>
          <w:lang w:val="en"/>
        </w:rPr>
      </w:pPr>
    </w:p>
    <w:p w14:paraId="18C7AAAE" w14:textId="2C42A738" w:rsidR="00CA3343" w:rsidRPr="0077122A" w:rsidRDefault="00FB191C" w:rsidP="0077122A">
      <w:pPr>
        <w:spacing w:after="0" w:line="276" w:lineRule="auto"/>
        <w:divId w:val="1031222433"/>
        <w:rPr>
          <w:rFonts w:ascii="Arial" w:hAnsi="Arial" w:cs="Arial"/>
          <w:sz w:val="20"/>
          <w:szCs w:val="20"/>
          <w:lang w:val="en"/>
        </w:rPr>
      </w:pPr>
      <w:r w:rsidRPr="0077122A">
        <w:rPr>
          <w:rStyle w:val="Strong"/>
          <w:rFonts w:ascii="Arial" w:hAnsi="Arial" w:cs="Arial"/>
          <w:bCs w:val="0"/>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CA3343" w:rsidRPr="0077122A" w14:paraId="6F85727A" w14:textId="77777777" w:rsidTr="0077122A">
        <w:trPr>
          <w:divId w:val="103122243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EEB9A26" w14:textId="77777777" w:rsidR="00CA3343" w:rsidRPr="0077122A" w:rsidRDefault="00FB191C" w:rsidP="0077122A">
            <w:pPr>
              <w:spacing w:after="0" w:line="276" w:lineRule="auto"/>
              <w:rPr>
                <w:rFonts w:ascii="Arial" w:hAnsi="Arial" w:cs="Arial"/>
                <w:sz w:val="18"/>
                <w:szCs w:val="18"/>
              </w:rPr>
            </w:pPr>
            <w:r w:rsidRPr="0077122A">
              <w:rPr>
                <w:rStyle w:val="Strong"/>
                <w:rFonts w:ascii="Arial" w:hAnsi="Arial" w:cs="Arial"/>
                <w:bCs w:val="0"/>
                <w:sz w:val="18"/>
                <w:szCs w:val="18"/>
              </w:rPr>
              <w:t>Tumor Type</w:t>
            </w:r>
          </w:p>
        </w:tc>
      </w:tr>
      <w:tr w:rsidR="00CA3343" w:rsidRPr="0077122A" w14:paraId="3B8662CB" w14:textId="77777777" w:rsidTr="0077122A">
        <w:trPr>
          <w:divId w:val="1031222433"/>
        </w:trPr>
        <w:tc>
          <w:tcPr>
            <w:tcW w:w="5000" w:type="pct"/>
            <w:tcBorders>
              <w:top w:val="single" w:sz="4" w:space="0" w:color="auto"/>
              <w:left w:val="single" w:sz="4" w:space="0" w:color="auto"/>
              <w:bottom w:val="single" w:sz="4" w:space="0" w:color="auto"/>
              <w:right w:val="single" w:sz="4" w:space="0" w:color="auto"/>
            </w:tcBorders>
            <w:hideMark/>
          </w:tcPr>
          <w:p w14:paraId="6D85A7E1" w14:textId="77777777" w:rsidR="00CA3343" w:rsidRPr="0077122A" w:rsidRDefault="00FB191C" w:rsidP="0077122A">
            <w:pPr>
              <w:widowControl w:val="0"/>
              <w:spacing w:after="0" w:line="276" w:lineRule="auto"/>
              <w:rPr>
                <w:rFonts w:ascii="Arial" w:hAnsi="Arial" w:cs="Arial"/>
                <w:sz w:val="18"/>
                <w:szCs w:val="18"/>
              </w:rPr>
            </w:pPr>
            <w:r w:rsidRPr="0077122A">
              <w:rPr>
                <w:rFonts w:ascii="Arial" w:hAnsi="Arial" w:cs="Arial"/>
                <w:sz w:val="18"/>
                <w:szCs w:val="18"/>
              </w:rPr>
              <w:t>Squamous cell carcinomas of the eyelid (consider the Eyelid protocol)</w:t>
            </w:r>
          </w:p>
        </w:tc>
      </w:tr>
      <w:tr w:rsidR="00CA3343" w:rsidRPr="0077122A" w14:paraId="73A9352F" w14:textId="77777777" w:rsidTr="0077122A">
        <w:trPr>
          <w:divId w:val="1031222433"/>
        </w:trPr>
        <w:tc>
          <w:tcPr>
            <w:tcW w:w="5000" w:type="pct"/>
            <w:tcBorders>
              <w:top w:val="single" w:sz="4" w:space="0" w:color="auto"/>
              <w:left w:val="single" w:sz="4" w:space="0" w:color="auto"/>
              <w:bottom w:val="single" w:sz="4" w:space="0" w:color="auto"/>
              <w:right w:val="single" w:sz="4" w:space="0" w:color="auto"/>
            </w:tcBorders>
            <w:hideMark/>
          </w:tcPr>
          <w:p w14:paraId="2D88C98F" w14:textId="77777777" w:rsidR="00CA3343" w:rsidRPr="0077122A" w:rsidRDefault="00FB191C" w:rsidP="0077122A">
            <w:pPr>
              <w:widowControl w:val="0"/>
              <w:spacing w:after="0" w:line="276" w:lineRule="auto"/>
              <w:rPr>
                <w:rFonts w:ascii="Arial" w:hAnsi="Arial" w:cs="Arial"/>
                <w:sz w:val="18"/>
                <w:szCs w:val="18"/>
              </w:rPr>
            </w:pPr>
            <w:r w:rsidRPr="0077122A">
              <w:rPr>
                <w:rFonts w:ascii="Arial" w:hAnsi="Arial" w:cs="Arial"/>
                <w:sz w:val="18"/>
                <w:szCs w:val="18"/>
              </w:rPr>
              <w:t>Squamous cell carcinomas of the vulva (consider the Vulva protocol)</w:t>
            </w:r>
          </w:p>
        </w:tc>
      </w:tr>
      <w:tr w:rsidR="00CA3343" w:rsidRPr="0077122A" w14:paraId="2F84ADFE" w14:textId="77777777" w:rsidTr="0077122A">
        <w:trPr>
          <w:divId w:val="1031222433"/>
        </w:trPr>
        <w:tc>
          <w:tcPr>
            <w:tcW w:w="5000" w:type="pct"/>
            <w:tcBorders>
              <w:top w:val="single" w:sz="4" w:space="0" w:color="auto"/>
              <w:left w:val="single" w:sz="4" w:space="0" w:color="auto"/>
              <w:bottom w:val="single" w:sz="4" w:space="0" w:color="auto"/>
              <w:right w:val="single" w:sz="4" w:space="0" w:color="auto"/>
            </w:tcBorders>
            <w:hideMark/>
          </w:tcPr>
          <w:p w14:paraId="3D6A3BCB" w14:textId="77777777" w:rsidR="00CA3343" w:rsidRPr="0077122A" w:rsidRDefault="00FB191C" w:rsidP="0077122A">
            <w:pPr>
              <w:widowControl w:val="0"/>
              <w:spacing w:after="0" w:line="276" w:lineRule="auto"/>
              <w:rPr>
                <w:rFonts w:ascii="Arial" w:hAnsi="Arial" w:cs="Arial"/>
                <w:sz w:val="18"/>
                <w:szCs w:val="18"/>
              </w:rPr>
            </w:pPr>
            <w:r w:rsidRPr="0077122A">
              <w:rPr>
                <w:rFonts w:ascii="Arial" w:hAnsi="Arial" w:cs="Arial"/>
                <w:sz w:val="18"/>
                <w:szCs w:val="18"/>
              </w:rPr>
              <w:t>Squamous cell carcinomas of the penis (consider the Penis protocol)</w:t>
            </w:r>
          </w:p>
        </w:tc>
      </w:tr>
      <w:tr w:rsidR="00CA3343" w:rsidRPr="0077122A" w14:paraId="600EAE44" w14:textId="77777777" w:rsidTr="0077122A">
        <w:trPr>
          <w:divId w:val="1031222433"/>
        </w:trPr>
        <w:tc>
          <w:tcPr>
            <w:tcW w:w="5000" w:type="pct"/>
            <w:tcBorders>
              <w:top w:val="single" w:sz="4" w:space="0" w:color="auto"/>
              <w:left w:val="single" w:sz="4" w:space="0" w:color="auto"/>
              <w:bottom w:val="single" w:sz="4" w:space="0" w:color="auto"/>
              <w:right w:val="single" w:sz="4" w:space="0" w:color="auto"/>
            </w:tcBorders>
            <w:hideMark/>
          </w:tcPr>
          <w:p w14:paraId="1013BB8C" w14:textId="77777777" w:rsidR="00CA3343" w:rsidRPr="0077122A" w:rsidRDefault="00FB191C" w:rsidP="0077122A">
            <w:pPr>
              <w:widowControl w:val="0"/>
              <w:spacing w:after="0" w:line="276" w:lineRule="auto"/>
              <w:rPr>
                <w:rFonts w:ascii="Arial" w:hAnsi="Arial" w:cs="Arial"/>
                <w:sz w:val="18"/>
                <w:szCs w:val="18"/>
              </w:rPr>
            </w:pPr>
            <w:r w:rsidRPr="0077122A">
              <w:rPr>
                <w:rFonts w:ascii="Arial" w:hAnsi="Arial" w:cs="Arial"/>
                <w:sz w:val="18"/>
                <w:szCs w:val="18"/>
              </w:rPr>
              <w:t>Squamous cell carcinomas of other cutaneous sites (no current protocol)</w:t>
            </w:r>
          </w:p>
        </w:tc>
      </w:tr>
    </w:tbl>
    <w:p w14:paraId="76CA0EAF" w14:textId="4B5BFB68" w:rsidR="00CA3343" w:rsidRPr="0077122A" w:rsidRDefault="00CA3343" w:rsidP="004C1197">
      <w:pPr>
        <w:pStyle w:val="Heading2"/>
        <w:spacing w:before="0" w:beforeAutospacing="0" w:after="0" w:afterAutospacing="0" w:line="276" w:lineRule="auto"/>
        <w:divId w:val="1031222433"/>
        <w:rPr>
          <w:rFonts w:ascii="Arial" w:eastAsia="Times New Roman" w:hAnsi="Arial" w:cs="Arial"/>
          <w:sz w:val="20"/>
          <w:szCs w:val="20"/>
          <w:lang w:val="en"/>
        </w:rPr>
      </w:pPr>
    </w:p>
    <w:p w14:paraId="2D4E7D74" w14:textId="229D7B6D" w:rsidR="00CA3343" w:rsidRPr="0077122A" w:rsidRDefault="00FB191C" w:rsidP="0077122A">
      <w:pPr>
        <w:spacing w:after="0" w:line="276" w:lineRule="auto"/>
        <w:divId w:val="253439576"/>
        <w:rPr>
          <w:rFonts w:ascii="Arial" w:eastAsia="Times New Roman" w:hAnsi="Arial" w:cs="Arial"/>
          <w:b/>
          <w:bCs/>
          <w:sz w:val="20"/>
          <w:szCs w:val="20"/>
          <w:lang w:val="en"/>
        </w:rPr>
      </w:pPr>
      <w:r w:rsidRPr="0077122A">
        <w:rPr>
          <w:rFonts w:ascii="Arial" w:eastAsia="Times New Roman" w:hAnsi="Arial" w:cs="Arial"/>
          <w:b/>
          <w:bCs/>
          <w:sz w:val="20"/>
          <w:szCs w:val="20"/>
          <w:lang w:val="en"/>
        </w:rPr>
        <w:t>Authors</w:t>
      </w:r>
    </w:p>
    <w:p w14:paraId="372F9638" w14:textId="3950AB63" w:rsidR="00CA3343" w:rsidRPr="0077122A" w:rsidRDefault="00616636" w:rsidP="0077122A">
      <w:pPr>
        <w:spacing w:after="0" w:line="276" w:lineRule="auto"/>
        <w:divId w:val="2134665684"/>
        <w:rPr>
          <w:rFonts w:ascii="Arial" w:eastAsia="Times New Roman" w:hAnsi="Arial" w:cs="Arial"/>
          <w:sz w:val="20"/>
          <w:szCs w:val="20"/>
          <w:lang w:val="en"/>
        </w:rPr>
      </w:pPr>
      <w:r w:rsidRPr="00616636">
        <w:rPr>
          <w:rFonts w:ascii="Arial" w:eastAsia="Times New Roman" w:hAnsi="Arial" w:cs="Arial"/>
          <w:sz w:val="20"/>
          <w:szCs w:val="20"/>
          <w:lang w:val="en"/>
        </w:rPr>
        <w:t>Raja R. Seethala, MD*; Wonwoo Shon, DO*; Bonnie L. Balzer, MD, PhD; Umamaheswar Duvvuri, MD, PhD; Nima M. Gharavi, MD, PhD; William Lydiatt, MD.</w:t>
      </w:r>
      <w:r w:rsidR="00FB191C" w:rsidRPr="0077122A">
        <w:rPr>
          <w:rFonts w:ascii="Arial" w:eastAsia="Times New Roman" w:hAnsi="Arial" w:cs="Arial"/>
          <w:sz w:val="20"/>
          <w:szCs w:val="20"/>
          <w:lang w:val="en"/>
        </w:rPr>
        <w:br/>
        <w:t>With guidance from the CAP Cancer and CAP Pathology Electronic Reporting Committees.</w:t>
      </w:r>
      <w:r w:rsidR="00FB191C" w:rsidRPr="0077122A">
        <w:rPr>
          <w:rFonts w:ascii="Arial" w:eastAsia="Times New Roman" w:hAnsi="Arial" w:cs="Arial"/>
          <w:sz w:val="20"/>
          <w:szCs w:val="20"/>
          <w:lang w:val="en"/>
        </w:rPr>
        <w:br/>
      </w:r>
      <w:r w:rsidR="00FB191C" w:rsidRPr="0077122A">
        <w:rPr>
          <w:rFonts w:ascii="Arial" w:eastAsia="Times New Roman" w:hAnsi="Arial" w:cs="Arial"/>
          <w:sz w:val="16"/>
          <w:szCs w:val="16"/>
          <w:lang w:val="en"/>
        </w:rPr>
        <w:t>* Denotes primary author.</w:t>
      </w:r>
    </w:p>
    <w:p w14:paraId="37A2BC55"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791FE87C" w14:textId="77777777" w:rsidR="00CA3343" w:rsidRPr="0077122A" w:rsidRDefault="00FB191C" w:rsidP="0077122A">
      <w:pPr>
        <w:pageBreakBefore/>
        <w:spacing w:after="0" w:line="276" w:lineRule="auto"/>
        <w:jc w:val="both"/>
        <w:divId w:val="132673747"/>
        <w:rPr>
          <w:rFonts w:ascii="Arial" w:eastAsia="Times New Roman" w:hAnsi="Arial" w:cs="Arial"/>
          <w:b/>
          <w:bCs/>
          <w:sz w:val="20"/>
          <w:szCs w:val="20"/>
          <w:lang w:val="en"/>
        </w:rPr>
      </w:pPr>
      <w:r w:rsidRPr="0077122A">
        <w:rPr>
          <w:rFonts w:ascii="Arial" w:eastAsia="Times New Roman" w:hAnsi="Arial" w:cs="Arial"/>
          <w:b/>
          <w:bCs/>
          <w:sz w:val="20"/>
          <w:szCs w:val="20"/>
          <w:lang w:val="en"/>
        </w:rPr>
        <w:lastRenderedPageBreak/>
        <w:t>Accreditation Requirements</w:t>
      </w:r>
    </w:p>
    <w:p w14:paraId="5826D48E" w14:textId="77777777" w:rsidR="00CA3343" w:rsidRPr="0077122A" w:rsidRDefault="00FB191C" w:rsidP="0077122A">
      <w:pPr>
        <w:pStyle w:val="NormalWeb"/>
        <w:spacing w:before="0" w:beforeAutospacing="0" w:after="0" w:afterAutospacing="0" w:line="276" w:lineRule="auto"/>
        <w:jc w:val="both"/>
        <w:divId w:val="197351335"/>
        <w:rPr>
          <w:rFonts w:ascii="Arial" w:hAnsi="Arial" w:cs="Arial"/>
          <w:sz w:val="20"/>
          <w:szCs w:val="20"/>
          <w:lang w:val="en"/>
        </w:rPr>
      </w:pPr>
      <w:r w:rsidRPr="0077122A">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64B540FF" w14:textId="77777777" w:rsidR="00CA3343" w:rsidRPr="0077122A" w:rsidRDefault="00FB191C" w:rsidP="0077122A">
      <w:pPr>
        <w:numPr>
          <w:ilvl w:val="0"/>
          <w:numId w:val="1"/>
        </w:numPr>
        <w:spacing w:after="0" w:line="276" w:lineRule="auto"/>
        <w:jc w:val="both"/>
        <w:divId w:val="197351335"/>
        <w:rPr>
          <w:rFonts w:ascii="Arial" w:eastAsia="Times New Roman" w:hAnsi="Arial" w:cs="Arial"/>
          <w:sz w:val="20"/>
          <w:szCs w:val="20"/>
          <w:lang w:val="en"/>
        </w:rPr>
      </w:pPr>
      <w:r w:rsidRPr="0077122A">
        <w:rPr>
          <w:rFonts w:ascii="Arial" w:eastAsia="Times New Roman" w:hAnsi="Arial" w:cs="Arial"/>
          <w:sz w:val="20"/>
          <w:szCs w:val="20"/>
          <w:u w:val="single"/>
          <w:lang w:val="en"/>
        </w:rPr>
        <w:t>Core data elements</w:t>
      </w:r>
      <w:r w:rsidRPr="0077122A">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188B68AE" w14:textId="77777777" w:rsidR="00CA3343" w:rsidRPr="0077122A" w:rsidRDefault="00FB191C" w:rsidP="0077122A">
      <w:pPr>
        <w:numPr>
          <w:ilvl w:val="0"/>
          <w:numId w:val="1"/>
        </w:numPr>
        <w:spacing w:after="0" w:line="276" w:lineRule="auto"/>
        <w:jc w:val="both"/>
        <w:divId w:val="197351335"/>
        <w:rPr>
          <w:rFonts w:ascii="Arial" w:eastAsia="Times New Roman" w:hAnsi="Arial" w:cs="Arial"/>
          <w:sz w:val="20"/>
          <w:szCs w:val="20"/>
          <w:lang w:val="en"/>
        </w:rPr>
      </w:pPr>
      <w:r w:rsidRPr="0077122A">
        <w:rPr>
          <w:rFonts w:ascii="Arial" w:eastAsia="Times New Roman" w:hAnsi="Arial" w:cs="Arial"/>
          <w:sz w:val="20"/>
          <w:szCs w:val="20"/>
          <w:u w:val="single"/>
          <w:lang w:val="en"/>
        </w:rPr>
        <w:t>Conditional data elements</w:t>
      </w:r>
      <w:r w:rsidRPr="0077122A">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373BA039" w14:textId="77777777" w:rsidR="00CA3343" w:rsidRPr="0077122A" w:rsidRDefault="00FB191C" w:rsidP="0077122A">
      <w:pPr>
        <w:numPr>
          <w:ilvl w:val="0"/>
          <w:numId w:val="1"/>
        </w:numPr>
        <w:spacing w:after="0" w:line="276" w:lineRule="auto"/>
        <w:jc w:val="both"/>
        <w:divId w:val="197351335"/>
        <w:rPr>
          <w:rFonts w:ascii="Arial" w:eastAsia="Times New Roman" w:hAnsi="Arial" w:cs="Arial"/>
          <w:sz w:val="20"/>
          <w:szCs w:val="20"/>
          <w:lang w:val="en"/>
        </w:rPr>
      </w:pPr>
      <w:r w:rsidRPr="0077122A">
        <w:rPr>
          <w:rFonts w:ascii="Arial" w:eastAsia="Times New Roman" w:hAnsi="Arial" w:cs="Arial"/>
          <w:sz w:val="20"/>
          <w:szCs w:val="20"/>
          <w:u w:val="single"/>
          <w:lang w:val="en"/>
        </w:rPr>
        <w:t>Optional data elements</w:t>
      </w:r>
      <w:r w:rsidRPr="0077122A">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057E695A" w14:textId="77777777" w:rsidR="00CA3343" w:rsidRPr="0077122A" w:rsidRDefault="00FB191C" w:rsidP="0077122A">
      <w:pPr>
        <w:pStyle w:val="NormalWeb"/>
        <w:spacing w:before="0" w:beforeAutospacing="0" w:after="0" w:afterAutospacing="0" w:line="276" w:lineRule="auto"/>
        <w:jc w:val="both"/>
        <w:divId w:val="197351335"/>
        <w:rPr>
          <w:rFonts w:ascii="Arial" w:hAnsi="Arial" w:cs="Arial"/>
          <w:sz w:val="20"/>
          <w:szCs w:val="20"/>
          <w:lang w:val="en"/>
        </w:rPr>
      </w:pPr>
      <w:r w:rsidRPr="0077122A">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5D9C4F7A" w14:textId="77777777" w:rsidR="00CA3343" w:rsidRPr="0077122A" w:rsidRDefault="00FB191C" w:rsidP="0077122A">
      <w:pPr>
        <w:pStyle w:val="NormalWeb"/>
        <w:spacing w:before="0" w:beforeAutospacing="0" w:after="0" w:afterAutospacing="0" w:line="276" w:lineRule="auto"/>
        <w:jc w:val="both"/>
        <w:divId w:val="197351335"/>
        <w:rPr>
          <w:rFonts w:ascii="Arial" w:hAnsi="Arial" w:cs="Arial"/>
          <w:sz w:val="20"/>
          <w:szCs w:val="20"/>
          <w:lang w:val="en"/>
        </w:rPr>
      </w:pPr>
      <w:r w:rsidRPr="0077122A">
        <w:rPr>
          <w:rFonts w:ascii="Arial" w:hAnsi="Arial" w:cs="Arial"/>
          <w:sz w:val="20"/>
          <w:szCs w:val="20"/>
          <w:lang w:val="en"/>
        </w:rPr>
        <w:t> </w:t>
      </w:r>
    </w:p>
    <w:p w14:paraId="50A1D47C" w14:textId="77777777" w:rsidR="00CA3343" w:rsidRPr="0077122A" w:rsidRDefault="00FB191C" w:rsidP="0077122A">
      <w:pPr>
        <w:pStyle w:val="NormalWeb"/>
        <w:spacing w:before="0" w:beforeAutospacing="0" w:after="0" w:afterAutospacing="0" w:line="276" w:lineRule="auto"/>
        <w:jc w:val="both"/>
        <w:divId w:val="197351335"/>
        <w:rPr>
          <w:rFonts w:ascii="Arial" w:hAnsi="Arial" w:cs="Arial"/>
          <w:sz w:val="20"/>
          <w:szCs w:val="20"/>
          <w:lang w:val="en"/>
        </w:rPr>
      </w:pPr>
      <w:r w:rsidRPr="0077122A">
        <w:rPr>
          <w:rStyle w:val="Strong"/>
          <w:rFonts w:ascii="Arial" w:hAnsi="Arial" w:cs="Arial"/>
          <w:sz w:val="20"/>
          <w:szCs w:val="20"/>
          <w:lang w:val="en"/>
        </w:rPr>
        <w:t>Synoptic Reporting</w:t>
      </w:r>
    </w:p>
    <w:p w14:paraId="6B6178BA" w14:textId="77777777" w:rsidR="00CA3343" w:rsidRPr="0077122A" w:rsidRDefault="00FB191C" w:rsidP="0077122A">
      <w:pPr>
        <w:pStyle w:val="NormalWeb"/>
        <w:spacing w:before="0" w:beforeAutospacing="0" w:after="0" w:afterAutospacing="0" w:line="276" w:lineRule="auto"/>
        <w:jc w:val="both"/>
        <w:divId w:val="197351335"/>
        <w:rPr>
          <w:rFonts w:ascii="Arial" w:hAnsi="Arial" w:cs="Arial"/>
          <w:sz w:val="20"/>
          <w:szCs w:val="20"/>
          <w:lang w:val="en"/>
        </w:rPr>
      </w:pPr>
      <w:r w:rsidRPr="0077122A">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561760D" w14:textId="77777777" w:rsidR="00CA3343" w:rsidRPr="0077122A" w:rsidRDefault="00FB191C" w:rsidP="0077122A">
      <w:pPr>
        <w:numPr>
          <w:ilvl w:val="0"/>
          <w:numId w:val="2"/>
        </w:numPr>
        <w:spacing w:after="0" w:line="276" w:lineRule="auto"/>
        <w:jc w:val="both"/>
        <w:divId w:val="197351335"/>
        <w:rPr>
          <w:rFonts w:ascii="Arial" w:eastAsia="Times New Roman" w:hAnsi="Arial" w:cs="Arial"/>
          <w:sz w:val="20"/>
          <w:szCs w:val="20"/>
          <w:lang w:val="en"/>
        </w:rPr>
      </w:pPr>
      <w:r w:rsidRPr="0077122A">
        <w:rPr>
          <w:rFonts w:ascii="Arial" w:eastAsia="Times New Roman" w:hAnsi="Arial" w:cs="Arial"/>
          <w:sz w:val="20"/>
          <w:szCs w:val="20"/>
          <w:lang w:val="en"/>
        </w:rPr>
        <w:t>Data element: followed by its answer (response), outline format without the paired Data element: Response format is NOT considered synoptic.</w:t>
      </w:r>
    </w:p>
    <w:p w14:paraId="56FA9B93" w14:textId="77777777" w:rsidR="00CA3343" w:rsidRPr="0077122A" w:rsidRDefault="00FB191C" w:rsidP="0077122A">
      <w:pPr>
        <w:numPr>
          <w:ilvl w:val="0"/>
          <w:numId w:val="2"/>
        </w:numPr>
        <w:spacing w:after="0" w:line="276" w:lineRule="auto"/>
        <w:jc w:val="both"/>
        <w:divId w:val="197351335"/>
        <w:rPr>
          <w:rFonts w:ascii="Arial" w:eastAsia="Times New Roman" w:hAnsi="Arial" w:cs="Arial"/>
          <w:sz w:val="20"/>
          <w:szCs w:val="20"/>
          <w:lang w:val="en"/>
        </w:rPr>
      </w:pPr>
      <w:r w:rsidRPr="0077122A">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672F41D9" w14:textId="77777777" w:rsidR="00CA3343" w:rsidRPr="0077122A" w:rsidRDefault="00FB191C" w:rsidP="0077122A">
      <w:pPr>
        <w:numPr>
          <w:ilvl w:val="0"/>
          <w:numId w:val="2"/>
        </w:numPr>
        <w:spacing w:after="0" w:line="276" w:lineRule="auto"/>
        <w:jc w:val="both"/>
        <w:divId w:val="197351335"/>
        <w:rPr>
          <w:rFonts w:ascii="Arial" w:eastAsia="Times New Roman" w:hAnsi="Arial" w:cs="Arial"/>
          <w:sz w:val="20"/>
          <w:szCs w:val="20"/>
          <w:lang w:val="en"/>
        </w:rPr>
      </w:pPr>
      <w:r w:rsidRPr="0077122A">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1AFE0DCE" w14:textId="77777777" w:rsidR="00CA3343" w:rsidRPr="0077122A" w:rsidRDefault="00FB191C" w:rsidP="0077122A">
      <w:pPr>
        <w:numPr>
          <w:ilvl w:val="1"/>
          <w:numId w:val="2"/>
        </w:numPr>
        <w:spacing w:after="0" w:line="276" w:lineRule="auto"/>
        <w:jc w:val="both"/>
        <w:divId w:val="197351335"/>
        <w:rPr>
          <w:rFonts w:ascii="Arial" w:eastAsia="Times New Roman" w:hAnsi="Arial" w:cs="Arial"/>
          <w:sz w:val="20"/>
          <w:szCs w:val="20"/>
          <w:lang w:val="en"/>
        </w:rPr>
      </w:pPr>
      <w:r w:rsidRPr="0077122A">
        <w:rPr>
          <w:rFonts w:ascii="Arial" w:eastAsia="Times New Roman" w:hAnsi="Arial" w:cs="Arial"/>
          <w:sz w:val="20"/>
          <w:szCs w:val="20"/>
          <w:lang w:val="en"/>
        </w:rPr>
        <w:t>Anatomic site or specimen, laterality, and procedure</w:t>
      </w:r>
    </w:p>
    <w:p w14:paraId="1F6467DD" w14:textId="77777777" w:rsidR="00CA3343" w:rsidRPr="0077122A" w:rsidRDefault="00FB191C" w:rsidP="0077122A">
      <w:pPr>
        <w:numPr>
          <w:ilvl w:val="1"/>
          <w:numId w:val="2"/>
        </w:numPr>
        <w:spacing w:after="0" w:line="276" w:lineRule="auto"/>
        <w:jc w:val="both"/>
        <w:divId w:val="197351335"/>
        <w:rPr>
          <w:rFonts w:ascii="Arial" w:eastAsia="Times New Roman" w:hAnsi="Arial" w:cs="Arial"/>
          <w:sz w:val="20"/>
          <w:szCs w:val="20"/>
          <w:lang w:val="en"/>
        </w:rPr>
      </w:pPr>
      <w:r w:rsidRPr="0077122A">
        <w:rPr>
          <w:rFonts w:ascii="Arial" w:eastAsia="Times New Roman" w:hAnsi="Arial" w:cs="Arial"/>
          <w:sz w:val="20"/>
          <w:szCs w:val="20"/>
          <w:lang w:val="en"/>
        </w:rPr>
        <w:t>Pathologic Stage Classification (pTNM) elements</w:t>
      </w:r>
    </w:p>
    <w:p w14:paraId="69F13C75" w14:textId="77777777" w:rsidR="00CA3343" w:rsidRPr="0077122A" w:rsidRDefault="00FB191C" w:rsidP="0077122A">
      <w:pPr>
        <w:numPr>
          <w:ilvl w:val="1"/>
          <w:numId w:val="2"/>
        </w:numPr>
        <w:spacing w:after="0" w:line="276" w:lineRule="auto"/>
        <w:jc w:val="both"/>
        <w:divId w:val="197351335"/>
        <w:rPr>
          <w:rFonts w:ascii="Arial" w:eastAsia="Times New Roman" w:hAnsi="Arial" w:cs="Arial"/>
          <w:sz w:val="20"/>
          <w:szCs w:val="20"/>
          <w:lang w:val="en"/>
        </w:rPr>
      </w:pPr>
      <w:r w:rsidRPr="0077122A">
        <w:rPr>
          <w:rFonts w:ascii="Arial" w:eastAsia="Times New Roman" w:hAnsi="Arial" w:cs="Arial"/>
          <w:sz w:val="20"/>
          <w:szCs w:val="20"/>
          <w:lang w:val="en"/>
        </w:rPr>
        <w:t>Negative margins, as long as all negative margins are specifically enumerated where applicable</w:t>
      </w:r>
    </w:p>
    <w:p w14:paraId="66A95707" w14:textId="77777777" w:rsidR="00CA3343" w:rsidRPr="0077122A" w:rsidRDefault="00FB191C" w:rsidP="0077122A">
      <w:pPr>
        <w:numPr>
          <w:ilvl w:val="0"/>
          <w:numId w:val="2"/>
        </w:numPr>
        <w:spacing w:after="0" w:line="276" w:lineRule="auto"/>
        <w:jc w:val="both"/>
        <w:divId w:val="197351335"/>
        <w:rPr>
          <w:rFonts w:ascii="Arial" w:eastAsia="Times New Roman" w:hAnsi="Arial" w:cs="Arial"/>
          <w:sz w:val="20"/>
          <w:szCs w:val="20"/>
          <w:lang w:val="en"/>
        </w:rPr>
      </w:pPr>
      <w:r w:rsidRPr="0077122A">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097C916C" w14:textId="77777777" w:rsidR="00CA3343" w:rsidRPr="0077122A" w:rsidRDefault="00FB191C" w:rsidP="0077122A">
      <w:pPr>
        <w:pStyle w:val="NormalWeb"/>
        <w:spacing w:before="0" w:beforeAutospacing="0" w:after="0" w:afterAutospacing="0" w:line="276" w:lineRule="auto"/>
        <w:jc w:val="both"/>
        <w:divId w:val="197351335"/>
        <w:rPr>
          <w:rFonts w:ascii="Arial" w:hAnsi="Arial" w:cs="Arial"/>
          <w:sz w:val="20"/>
          <w:szCs w:val="20"/>
          <w:lang w:val="en"/>
        </w:rPr>
      </w:pPr>
      <w:r w:rsidRPr="0077122A">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0AE3829A"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7F90C715" w14:textId="77777777" w:rsidR="0077122A" w:rsidRDefault="0077122A">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5516016C" w14:textId="0E94DA8B" w:rsidR="00CA3343" w:rsidRPr="0077122A" w:rsidRDefault="00FB191C" w:rsidP="0077122A">
      <w:pPr>
        <w:spacing w:after="0" w:line="276" w:lineRule="auto"/>
        <w:rPr>
          <w:rFonts w:ascii="Arial" w:eastAsia="Times New Roman" w:hAnsi="Arial" w:cs="Arial"/>
          <w:b/>
          <w:bCs/>
          <w:sz w:val="20"/>
          <w:szCs w:val="20"/>
          <w:u w:val="single"/>
          <w:lang w:val="en"/>
        </w:rPr>
      </w:pPr>
      <w:r w:rsidRPr="0077122A">
        <w:rPr>
          <w:rFonts w:ascii="Arial" w:eastAsia="Times New Roman" w:hAnsi="Arial" w:cs="Arial"/>
          <w:b/>
          <w:bCs/>
          <w:sz w:val="20"/>
          <w:szCs w:val="20"/>
          <w:u w:val="single"/>
          <w:lang w:val="en"/>
        </w:rPr>
        <w:lastRenderedPageBreak/>
        <w:t>Summary of Changes</w:t>
      </w:r>
    </w:p>
    <w:p w14:paraId="48415DE8" w14:textId="77777777" w:rsidR="00CA3343" w:rsidRPr="0077122A" w:rsidRDefault="00FB191C" w:rsidP="0077122A">
      <w:pPr>
        <w:pStyle w:val="NormalWeb"/>
        <w:spacing w:before="0" w:beforeAutospacing="0" w:after="0" w:afterAutospacing="0" w:line="276" w:lineRule="auto"/>
        <w:rPr>
          <w:rFonts w:ascii="Arial" w:hAnsi="Arial" w:cs="Arial"/>
          <w:sz w:val="20"/>
          <w:szCs w:val="20"/>
          <w:lang w:val="en"/>
        </w:rPr>
      </w:pPr>
      <w:r w:rsidRPr="0077122A">
        <w:rPr>
          <w:rStyle w:val="Strong"/>
          <w:rFonts w:ascii="Arial" w:hAnsi="Arial" w:cs="Arial"/>
          <w:sz w:val="20"/>
          <w:szCs w:val="20"/>
          <w:lang w:val="en"/>
        </w:rPr>
        <w:t>v 1.0.0.0</w:t>
      </w:r>
    </w:p>
    <w:p w14:paraId="0EBC66AD" w14:textId="77777777" w:rsidR="00CA3343" w:rsidRPr="0077122A" w:rsidRDefault="00FB191C" w:rsidP="0077122A">
      <w:pPr>
        <w:numPr>
          <w:ilvl w:val="0"/>
          <w:numId w:val="3"/>
        </w:num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New protocol</w:t>
      </w:r>
    </w:p>
    <w:p w14:paraId="6CBBA2B5" w14:textId="77777777" w:rsidR="00CA3343" w:rsidRPr="0077122A" w:rsidRDefault="00FB191C" w:rsidP="00427E36">
      <w:pPr>
        <w:pageBreakBefore/>
        <w:pBdr>
          <w:bottom w:val="single" w:sz="4" w:space="1" w:color="auto"/>
        </w:pBd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lastRenderedPageBreak/>
        <w:t>Reporting Template</w:t>
      </w:r>
    </w:p>
    <w:p w14:paraId="755DEBDE"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Protocol Posting Date: June 2022 </w:t>
      </w:r>
    </w:p>
    <w:p w14:paraId="2F2E9611"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Select a single response unless otherwise indicated.</w:t>
      </w:r>
    </w:p>
    <w:p w14:paraId="293FCBBD"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0F77E908"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CASE SUMMARY: (CUTANEOUS SQUAMOUS CELL CARCINOMA OF THE HEAD AND NECK)  </w:t>
      </w:r>
    </w:p>
    <w:p w14:paraId="06338372"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b/>
          <w:bCs/>
          <w:sz w:val="20"/>
          <w:szCs w:val="20"/>
          <w:lang w:val="en"/>
        </w:rPr>
        <w:t>Standard(s)</w:t>
      </w:r>
      <w:r w:rsidRPr="0077122A">
        <w:rPr>
          <w:rFonts w:ascii="Arial" w:eastAsia="Times New Roman" w:hAnsi="Arial" w:cs="Arial"/>
          <w:sz w:val="20"/>
          <w:szCs w:val="20"/>
          <w:lang w:val="en"/>
        </w:rPr>
        <w:t xml:space="preserve">: AJCC-UICC 8 </w:t>
      </w:r>
    </w:p>
    <w:p w14:paraId="01464DFC"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012A7E6A"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SPECIMEN (Note </w:t>
      </w:r>
      <w:hyperlink w:anchor="N9532" w:history="1">
        <w:r w:rsidRPr="0077122A">
          <w:rPr>
            <w:rStyle w:val="Hyperlink"/>
            <w:rFonts w:ascii="Arial" w:eastAsia="Times New Roman" w:hAnsi="Arial" w:cs="Arial"/>
            <w:b/>
            <w:bCs/>
            <w:sz w:val="20"/>
            <w:szCs w:val="20"/>
            <w:lang w:val="en"/>
          </w:rPr>
          <w:t>A</w:t>
        </w:r>
      </w:hyperlink>
      <w:r w:rsidRPr="0077122A">
        <w:rPr>
          <w:rFonts w:ascii="Arial" w:eastAsia="Times New Roman" w:hAnsi="Arial" w:cs="Arial"/>
          <w:b/>
          <w:bCs/>
          <w:sz w:val="20"/>
          <w:szCs w:val="20"/>
          <w:lang w:val="en"/>
        </w:rPr>
        <w:t xml:space="preserve">) </w:t>
      </w:r>
    </w:p>
    <w:p w14:paraId="56404F05"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7C246617"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Procedure  (select all that apply) </w:t>
      </w:r>
    </w:p>
    <w:p w14:paraId="1B6D67D6"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Excision, ellipse  </w:t>
      </w:r>
    </w:p>
    <w:p w14:paraId="4F352A5F"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Excision, wide  </w:t>
      </w:r>
    </w:p>
    <w:p w14:paraId="45A7701A"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Excision, other (specify): _________________ </w:t>
      </w:r>
    </w:p>
    <w:p w14:paraId="43847D5F"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Re-excision, ellipse  </w:t>
      </w:r>
    </w:p>
    <w:p w14:paraId="4CCA7CE1"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Re-excision, wide  </w:t>
      </w:r>
    </w:p>
    <w:p w14:paraId="0F2595A3"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Re-excision, other (specify): _________________ </w:t>
      </w:r>
    </w:p>
    <w:p w14:paraId="2FEA5626"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Lymphadenectomy, sentinel node(s)  </w:t>
      </w:r>
    </w:p>
    <w:p w14:paraId="4BF7B1AB"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Lymphadenectomy, regional nodes (specify): _________________ </w:t>
      </w:r>
    </w:p>
    <w:p w14:paraId="7867B9FF"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Other (specify): _________________ </w:t>
      </w:r>
    </w:p>
    <w:p w14:paraId="3E57536A"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Not specified  </w:t>
      </w:r>
    </w:p>
    <w:p w14:paraId="3727D303"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0DD6FB33"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TUMOR  </w:t>
      </w:r>
    </w:p>
    <w:p w14:paraId="0B6F9697"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52F0E822"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Tumor Focality  </w:t>
      </w:r>
    </w:p>
    <w:p w14:paraId="7F0652EA"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Unifocal  </w:t>
      </w:r>
    </w:p>
    <w:p w14:paraId="30A7D0CC"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Multifocal: _________________ </w:t>
      </w:r>
    </w:p>
    <w:p w14:paraId="3101EA44"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_________________ </w:t>
      </w:r>
    </w:p>
    <w:p w14:paraId="31850979"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57C92778"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Multiple Primary Sites  </w:t>
      </w:r>
    </w:p>
    <w:p w14:paraId="5AFC0F7E"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Not applicable (no additional primary site(s) present)  </w:t>
      </w:r>
    </w:p>
    <w:p w14:paraId="12EB3A01"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Present: _________________ </w:t>
      </w:r>
    </w:p>
    <w:p w14:paraId="651CFB0C" w14:textId="77777777" w:rsidR="00CA3343" w:rsidRPr="0077122A" w:rsidRDefault="00FB191C" w:rsidP="0077122A">
      <w:pPr>
        <w:spacing w:after="0" w:line="276" w:lineRule="auto"/>
        <w:rPr>
          <w:rFonts w:ascii="Arial" w:eastAsia="Times New Roman" w:hAnsi="Arial" w:cs="Arial"/>
          <w:i/>
          <w:iCs/>
          <w:sz w:val="16"/>
          <w:szCs w:val="16"/>
          <w:lang w:val="en"/>
        </w:rPr>
      </w:pPr>
      <w:r w:rsidRPr="0077122A">
        <w:rPr>
          <w:rFonts w:ascii="Arial" w:eastAsia="Times New Roman" w:hAnsi="Arial" w:cs="Arial"/>
          <w:i/>
          <w:iCs/>
          <w:sz w:val="16"/>
          <w:szCs w:val="16"/>
          <w:lang w:val="en"/>
        </w:rPr>
        <w:t xml:space="preserve">Please complete a separate checklist for each primary site if required as above.  </w:t>
      </w:r>
    </w:p>
    <w:p w14:paraId="23D7EE87"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2DE66B7D"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Tumor Site  </w:t>
      </w:r>
    </w:p>
    <w:p w14:paraId="7BB667F5"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Specify, if known: _________________ </w:t>
      </w:r>
    </w:p>
    <w:p w14:paraId="1FBF2222"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Not specified  </w:t>
      </w:r>
    </w:p>
    <w:p w14:paraId="028D3D36"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7F71DF56" w14:textId="62158784"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Tumor Laterality (select all that apply) </w:t>
      </w:r>
    </w:p>
    <w:p w14:paraId="4E91D237"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Right  </w:t>
      </w:r>
    </w:p>
    <w:p w14:paraId="4B3A6F02"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Left  </w:t>
      </w:r>
    </w:p>
    <w:p w14:paraId="1BC17034"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Midline  </w:t>
      </w:r>
    </w:p>
    <w:p w14:paraId="66FA3183"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Not specified  </w:t>
      </w:r>
    </w:p>
    <w:p w14:paraId="274A5864"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6A2DBA16"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Tumor Size  </w:t>
      </w:r>
    </w:p>
    <w:p w14:paraId="7748BBF3"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___ Greatest dimension in Centimeters (cm): _________________ cm</w:t>
      </w:r>
    </w:p>
    <w:p w14:paraId="3C5F50F0" w14:textId="77777777" w:rsidR="00CA3343" w:rsidRPr="0077122A" w:rsidRDefault="00FB191C" w:rsidP="0077122A">
      <w:pPr>
        <w:spacing w:after="0" w:line="276" w:lineRule="auto"/>
        <w:ind w:firstLine="240"/>
        <w:rPr>
          <w:rFonts w:ascii="Arial" w:eastAsia="Times New Roman" w:hAnsi="Arial" w:cs="Arial"/>
          <w:b/>
          <w:bCs/>
          <w:sz w:val="20"/>
          <w:szCs w:val="20"/>
          <w:lang w:val="en"/>
        </w:rPr>
      </w:pPr>
      <w:r w:rsidRPr="0077122A">
        <w:rPr>
          <w:rFonts w:ascii="Arial" w:eastAsia="Times New Roman" w:hAnsi="Arial" w:cs="Arial"/>
          <w:b/>
          <w:bCs/>
          <w:sz w:val="20"/>
          <w:szCs w:val="20"/>
          <w:lang w:val="en"/>
        </w:rPr>
        <w:t>+Additional Dimensions in Centimeters: ____ x ____ cm</w:t>
      </w:r>
    </w:p>
    <w:p w14:paraId="302E55C9" w14:textId="7032607F"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(explain): _________________ </w:t>
      </w:r>
    </w:p>
    <w:p w14:paraId="7C9DC5C6"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lastRenderedPageBreak/>
        <w:t xml:space="preserve">Histologic Type (Note </w:t>
      </w:r>
      <w:hyperlink w:anchor="N9533" w:history="1">
        <w:r w:rsidRPr="0077122A">
          <w:rPr>
            <w:rStyle w:val="Hyperlink"/>
            <w:rFonts w:ascii="Arial" w:eastAsia="Times New Roman" w:hAnsi="Arial" w:cs="Arial"/>
            <w:b/>
            <w:bCs/>
            <w:sz w:val="20"/>
            <w:szCs w:val="20"/>
            <w:lang w:val="en"/>
          </w:rPr>
          <w:t>B</w:t>
        </w:r>
      </w:hyperlink>
      <w:r w:rsidRPr="0077122A">
        <w:rPr>
          <w:rFonts w:ascii="Arial" w:eastAsia="Times New Roman" w:hAnsi="Arial" w:cs="Arial"/>
          <w:b/>
          <w:bCs/>
          <w:sz w:val="20"/>
          <w:szCs w:val="20"/>
          <w:lang w:val="en"/>
        </w:rPr>
        <w:t xml:space="preserve">) </w:t>
      </w:r>
    </w:p>
    <w:p w14:paraId="4BB94141"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Squamous cell carcinoma, not otherwise specified  </w:t>
      </w:r>
    </w:p>
    <w:p w14:paraId="1D092C10"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Keratoacanthoma  </w:t>
      </w:r>
    </w:p>
    <w:p w14:paraId="03EC264D"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Acantholytic squamous cell carcinoma  </w:t>
      </w:r>
    </w:p>
    <w:p w14:paraId="15860C33"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Spindle cell squamous cell carcinoma  </w:t>
      </w:r>
    </w:p>
    <w:p w14:paraId="528ECB28"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Verrucous squamous cell carcinoma  </w:t>
      </w:r>
    </w:p>
    <w:p w14:paraId="4B149413"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Adenosquamous carcinoma  </w:t>
      </w:r>
    </w:p>
    <w:p w14:paraId="6F816EDF"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Clear cell squamous cell carcinoma  </w:t>
      </w:r>
    </w:p>
    <w:p w14:paraId="53875646"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Squamous cell carcinoma with sarcomatoid differentiation  </w:t>
      </w:r>
    </w:p>
    <w:p w14:paraId="0A059F9D"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Squamous cell carcinoma with osteoclast-like giant cells  </w:t>
      </w:r>
    </w:p>
    <w:p w14:paraId="14C8F7E5"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Pseudovascular squamous cell carcinoma  </w:t>
      </w:r>
    </w:p>
    <w:p w14:paraId="7CDAC5F5"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Lymphoepithelioma-like carcinoma  </w:t>
      </w:r>
    </w:p>
    <w:p w14:paraId="6FE949ED"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Other (specify): _________________ </w:t>
      </w:r>
    </w:p>
    <w:p w14:paraId="63C60819"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3F31A2CA"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Histologic Grade (Note </w:t>
      </w:r>
      <w:hyperlink w:anchor="N9534" w:history="1">
        <w:r w:rsidRPr="0077122A">
          <w:rPr>
            <w:rStyle w:val="Hyperlink"/>
            <w:rFonts w:ascii="Arial" w:eastAsia="Times New Roman" w:hAnsi="Arial" w:cs="Arial"/>
            <w:b/>
            <w:bCs/>
            <w:sz w:val="20"/>
            <w:szCs w:val="20"/>
            <w:lang w:val="en"/>
          </w:rPr>
          <w:t>C</w:t>
        </w:r>
      </w:hyperlink>
      <w:r w:rsidRPr="0077122A">
        <w:rPr>
          <w:rFonts w:ascii="Arial" w:eastAsia="Times New Roman" w:hAnsi="Arial" w:cs="Arial"/>
          <w:b/>
          <w:bCs/>
          <w:sz w:val="20"/>
          <w:szCs w:val="20"/>
          <w:lang w:val="en"/>
        </w:rPr>
        <w:t xml:space="preserve">) </w:t>
      </w:r>
    </w:p>
    <w:p w14:paraId="6E3EF4F3"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GX: Cannot be assessed  </w:t>
      </w:r>
    </w:p>
    <w:p w14:paraId="0047F8C1"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G1: Well differentiated  </w:t>
      </w:r>
    </w:p>
    <w:p w14:paraId="641EBBEF"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G2: Moderately differentiated  </w:t>
      </w:r>
    </w:p>
    <w:p w14:paraId="0A1CA608"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G3: Poorly differentiated  </w:t>
      </w:r>
    </w:p>
    <w:p w14:paraId="081A397B"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G4: Undifferentiated  </w:t>
      </w:r>
    </w:p>
    <w:p w14:paraId="711BDC7A"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Other (specify): _________________ </w:t>
      </w:r>
    </w:p>
    <w:p w14:paraId="54E62862"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Not applicable  </w:t>
      </w:r>
    </w:p>
    <w:p w14:paraId="1CA81F61"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78C895AA"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Tumor Depth of Invasion (DOI) (Note </w:t>
      </w:r>
      <w:hyperlink w:anchor="N9535" w:history="1">
        <w:r w:rsidRPr="0077122A">
          <w:rPr>
            <w:rStyle w:val="Hyperlink"/>
            <w:rFonts w:ascii="Arial" w:eastAsia="Times New Roman" w:hAnsi="Arial" w:cs="Arial"/>
            <w:b/>
            <w:bCs/>
            <w:sz w:val="20"/>
            <w:szCs w:val="20"/>
            <w:lang w:val="en"/>
          </w:rPr>
          <w:t>D</w:t>
        </w:r>
      </w:hyperlink>
      <w:r w:rsidRPr="0077122A">
        <w:rPr>
          <w:rFonts w:ascii="Arial" w:eastAsia="Times New Roman" w:hAnsi="Arial" w:cs="Arial"/>
          <w:b/>
          <w:bCs/>
          <w:sz w:val="20"/>
          <w:szCs w:val="20"/>
          <w:lang w:val="en"/>
        </w:rPr>
        <w:t xml:space="preserve">) </w:t>
      </w:r>
    </w:p>
    <w:p w14:paraId="42229B43"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Not applicable  </w:t>
      </w:r>
    </w:p>
    <w:p w14:paraId="44AB2099"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___ Specify depth in Millimeters (mm): _________________ mm</w:t>
      </w:r>
    </w:p>
    <w:p w14:paraId="740E5D74"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___ At least (mm): _________________ mm</w:t>
      </w:r>
    </w:p>
    <w:p w14:paraId="66241D1B"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(explain): _________________ </w:t>
      </w:r>
    </w:p>
    <w:p w14:paraId="127D794A"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72A2D59C"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+Anatomic Level  </w:t>
      </w:r>
    </w:p>
    <w:p w14:paraId="6BE9B7AE"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Not applicable  </w:t>
      </w:r>
    </w:p>
    <w:p w14:paraId="003891B7"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I (carcinoma in situ)  </w:t>
      </w:r>
    </w:p>
    <w:p w14:paraId="153AC491"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II (carcinoma present in but does not fill and expand papillary dermis)   </w:t>
      </w:r>
    </w:p>
    <w:p w14:paraId="0A93B32A"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III (carcinoma fills and expands papillary dermis)  </w:t>
      </w:r>
    </w:p>
    <w:p w14:paraId="5F4D14D9"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IV (carcinoma invades reticular dermis)  </w:t>
      </w:r>
    </w:p>
    <w:p w14:paraId="2B25BCE1"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V (carcinoma invades subcutaneum)  </w:t>
      </w:r>
    </w:p>
    <w:p w14:paraId="61CBCCF1"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62822525"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+Tumor Extent (specify other structures involved): _________________ </w:t>
      </w:r>
    </w:p>
    <w:p w14:paraId="35D7F65A"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3912A27A"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Lymphovascular Invasion  </w:t>
      </w:r>
    </w:p>
    <w:p w14:paraId="1AEFFC9D"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Not identified  </w:t>
      </w:r>
    </w:p>
    <w:p w14:paraId="03BAC1CB"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Present  </w:t>
      </w:r>
    </w:p>
    <w:p w14:paraId="2EA94969"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_________________ </w:t>
      </w:r>
    </w:p>
    <w:p w14:paraId="2F72119E"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714C5915" w14:textId="77777777" w:rsidR="00F937EC" w:rsidRDefault="00F937EC" w:rsidP="0077122A">
      <w:pPr>
        <w:spacing w:after="0" w:line="276" w:lineRule="auto"/>
        <w:rPr>
          <w:rFonts w:ascii="Arial" w:eastAsia="Times New Roman" w:hAnsi="Arial" w:cs="Arial"/>
          <w:b/>
          <w:bCs/>
          <w:sz w:val="20"/>
          <w:szCs w:val="20"/>
          <w:lang w:val="en"/>
        </w:rPr>
      </w:pPr>
    </w:p>
    <w:p w14:paraId="0FF28656" w14:textId="77777777" w:rsidR="00F937EC" w:rsidRDefault="00F937EC" w:rsidP="0077122A">
      <w:pPr>
        <w:spacing w:after="0" w:line="276" w:lineRule="auto"/>
        <w:rPr>
          <w:rFonts w:ascii="Arial" w:eastAsia="Times New Roman" w:hAnsi="Arial" w:cs="Arial"/>
          <w:b/>
          <w:bCs/>
          <w:sz w:val="20"/>
          <w:szCs w:val="20"/>
          <w:lang w:val="en"/>
        </w:rPr>
      </w:pPr>
    </w:p>
    <w:p w14:paraId="4B4AC170" w14:textId="77777777" w:rsidR="00F937EC" w:rsidRDefault="00F937EC" w:rsidP="0077122A">
      <w:pPr>
        <w:spacing w:after="0" w:line="276" w:lineRule="auto"/>
        <w:rPr>
          <w:rFonts w:ascii="Arial" w:eastAsia="Times New Roman" w:hAnsi="Arial" w:cs="Arial"/>
          <w:b/>
          <w:bCs/>
          <w:sz w:val="20"/>
          <w:szCs w:val="20"/>
          <w:lang w:val="en"/>
        </w:rPr>
      </w:pPr>
    </w:p>
    <w:p w14:paraId="461AB762" w14:textId="66183F8C"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lastRenderedPageBreak/>
        <w:t xml:space="preserve">Perineural Invasion (Note </w:t>
      </w:r>
      <w:hyperlink w:anchor="N9536" w:history="1">
        <w:r w:rsidRPr="0077122A">
          <w:rPr>
            <w:rStyle w:val="Hyperlink"/>
            <w:rFonts w:ascii="Arial" w:eastAsia="Times New Roman" w:hAnsi="Arial" w:cs="Arial"/>
            <w:b/>
            <w:bCs/>
            <w:sz w:val="20"/>
            <w:szCs w:val="20"/>
            <w:lang w:val="en"/>
          </w:rPr>
          <w:t>E</w:t>
        </w:r>
      </w:hyperlink>
      <w:r w:rsidRPr="0077122A">
        <w:rPr>
          <w:rFonts w:ascii="Arial" w:eastAsia="Times New Roman" w:hAnsi="Arial" w:cs="Arial"/>
          <w:b/>
          <w:bCs/>
          <w:sz w:val="20"/>
          <w:szCs w:val="20"/>
          <w:lang w:val="en"/>
        </w:rPr>
        <w:t xml:space="preserve">) </w:t>
      </w:r>
    </w:p>
    <w:p w14:paraId="09FA1467"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Not identified  </w:t>
      </w:r>
    </w:p>
    <w:p w14:paraId="59ED792D"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Present  </w:t>
      </w:r>
    </w:p>
    <w:p w14:paraId="064E9150"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Less than 0.1 mm in caliber  </w:t>
      </w:r>
    </w:p>
    <w:p w14:paraId="0F295500" w14:textId="77777777" w:rsidR="00CA3343" w:rsidRPr="0077122A" w:rsidRDefault="00FB191C" w:rsidP="0077122A">
      <w:pPr>
        <w:spacing w:after="0" w:line="276" w:lineRule="auto"/>
        <w:ind w:left="240"/>
        <w:rPr>
          <w:rFonts w:ascii="Arial" w:eastAsia="Times New Roman" w:hAnsi="Arial" w:cs="Arial"/>
          <w:i/>
          <w:iCs/>
          <w:sz w:val="16"/>
          <w:szCs w:val="16"/>
          <w:lang w:val="en"/>
        </w:rPr>
      </w:pPr>
      <w:r w:rsidRPr="0077122A">
        <w:rPr>
          <w:rFonts w:ascii="Arial" w:eastAsia="Times New Roman" w:hAnsi="Arial" w:cs="Arial"/>
          <w:i/>
          <w:iCs/>
          <w:sz w:val="16"/>
          <w:szCs w:val="16"/>
          <w:lang w:val="en"/>
        </w:rPr>
        <w:t xml:space="preserve"># Location of the involved nerve deep to the dermis serves as a surrogate for this size cut-off and qualifies as greater than or equal to 0.1 mm.  </w:t>
      </w:r>
    </w:p>
    <w:p w14:paraId="3FAE978C" w14:textId="70CB17D0"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Greater than or equal to 0.1 mm in caliber#  </w:t>
      </w:r>
    </w:p>
    <w:p w14:paraId="27F8B8B1"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Specify: _________________ </w:t>
      </w:r>
    </w:p>
    <w:p w14:paraId="0BD2282F"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_________________ </w:t>
      </w:r>
    </w:p>
    <w:p w14:paraId="185C4A4D"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279B1A6E"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MARGINS (Note </w:t>
      </w:r>
      <w:hyperlink w:anchor="N9537" w:history="1">
        <w:r w:rsidRPr="0077122A">
          <w:rPr>
            <w:rStyle w:val="Hyperlink"/>
            <w:rFonts w:ascii="Arial" w:eastAsia="Times New Roman" w:hAnsi="Arial" w:cs="Arial"/>
            <w:b/>
            <w:bCs/>
            <w:sz w:val="20"/>
            <w:szCs w:val="20"/>
            <w:lang w:val="en"/>
          </w:rPr>
          <w:t>F</w:t>
        </w:r>
      </w:hyperlink>
      <w:r w:rsidRPr="0077122A">
        <w:rPr>
          <w:rFonts w:ascii="Arial" w:eastAsia="Times New Roman" w:hAnsi="Arial" w:cs="Arial"/>
          <w:b/>
          <w:bCs/>
          <w:sz w:val="20"/>
          <w:szCs w:val="20"/>
          <w:lang w:val="en"/>
        </w:rPr>
        <w:t xml:space="preserve">) </w:t>
      </w:r>
    </w:p>
    <w:p w14:paraId="0451B91E"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4E376E7E"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Margin Status for Invasive Tumor  </w:t>
      </w:r>
    </w:p>
    <w:p w14:paraId="3F96B343"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All margins negative for invasive tumor  </w:t>
      </w:r>
    </w:p>
    <w:p w14:paraId="1367E2DD" w14:textId="77777777" w:rsidR="00CA3343" w:rsidRPr="0077122A" w:rsidRDefault="00FB191C" w:rsidP="0077122A">
      <w:pPr>
        <w:spacing w:after="0" w:line="276" w:lineRule="auto"/>
        <w:ind w:firstLine="240"/>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+Distance from Invasive Tumor to Closest Margin  </w:t>
      </w:r>
    </w:p>
    <w:p w14:paraId="137703BE" w14:textId="77777777" w:rsidR="00CA3343" w:rsidRPr="0077122A" w:rsidRDefault="00FB191C" w:rsidP="0077122A">
      <w:pPr>
        <w:spacing w:after="0" w:line="276" w:lineRule="auto"/>
        <w:ind w:firstLine="240"/>
        <w:rPr>
          <w:rFonts w:ascii="Arial" w:eastAsia="Times New Roman" w:hAnsi="Arial" w:cs="Arial"/>
          <w:i/>
          <w:iCs/>
          <w:sz w:val="16"/>
          <w:szCs w:val="16"/>
          <w:lang w:val="en"/>
        </w:rPr>
      </w:pPr>
      <w:r w:rsidRPr="0077122A">
        <w:rPr>
          <w:rFonts w:ascii="Arial" w:eastAsia="Times New Roman" w:hAnsi="Arial" w:cs="Arial"/>
          <w:i/>
          <w:iCs/>
          <w:sz w:val="16"/>
          <w:szCs w:val="16"/>
          <w:lang w:val="en"/>
        </w:rPr>
        <w:t xml:space="preserve">Specify in Millimeters (mm)  </w:t>
      </w:r>
    </w:p>
    <w:p w14:paraId="57D74020"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___ Exact distance: _________________ mm</w:t>
      </w:r>
    </w:p>
    <w:p w14:paraId="77C3FCFD"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___ Greater than: _________________ mm</w:t>
      </w:r>
    </w:p>
    <w:p w14:paraId="34CD6F4C"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Less than 1 mm  </w:t>
      </w:r>
    </w:p>
    <w:p w14:paraId="483373FA"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Other (specify): _________________ </w:t>
      </w:r>
    </w:p>
    <w:p w14:paraId="78F50E97"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_________________ </w:t>
      </w:r>
    </w:p>
    <w:p w14:paraId="6C3DAFB6" w14:textId="77777777" w:rsidR="00CA3343" w:rsidRPr="0077122A" w:rsidRDefault="00FB191C" w:rsidP="0077122A">
      <w:pPr>
        <w:spacing w:after="0" w:line="276" w:lineRule="auto"/>
        <w:ind w:firstLine="240"/>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+Closest Margin(s) to Invasive Tumor  </w:t>
      </w:r>
    </w:p>
    <w:p w14:paraId="158AD8DF"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Specify location(s) of closest margin(s): _________________ </w:t>
      </w:r>
    </w:p>
    <w:p w14:paraId="0AAEB151"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w:t>
      </w:r>
    </w:p>
    <w:p w14:paraId="6AD51CC8" w14:textId="77777777" w:rsidR="00CA3343" w:rsidRPr="0077122A" w:rsidRDefault="00FB191C" w:rsidP="0077122A">
      <w:pPr>
        <w:spacing w:after="0" w:line="276" w:lineRule="auto"/>
        <w:ind w:firstLine="240"/>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+Other Close Margin(s) to Invasive Tumor  </w:t>
      </w:r>
    </w:p>
    <w:p w14:paraId="0CBE12E1"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Specify location(s) and distance(s) of other close margin(s): _________________ </w:t>
      </w:r>
    </w:p>
    <w:p w14:paraId="72E6FCB4"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w:t>
      </w:r>
    </w:p>
    <w:p w14:paraId="227983B9"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Invasive tumor present at margin  </w:t>
      </w:r>
    </w:p>
    <w:p w14:paraId="2ABF0D46" w14:textId="38374C19" w:rsidR="00CA3343" w:rsidRPr="0077122A" w:rsidRDefault="00FB191C" w:rsidP="0077122A">
      <w:pPr>
        <w:spacing w:after="0" w:line="276" w:lineRule="auto"/>
        <w:ind w:firstLine="240"/>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Margin(s) Involved by Invasive Tumor (select all that apply) </w:t>
      </w:r>
    </w:p>
    <w:p w14:paraId="7E6D11B0"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Peripheral: _________________ </w:t>
      </w:r>
    </w:p>
    <w:p w14:paraId="394C9648"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Deep: _________________ </w:t>
      </w:r>
    </w:p>
    <w:p w14:paraId="4A2E200C"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Other (specify): _________________ </w:t>
      </w:r>
    </w:p>
    <w:p w14:paraId="669048AB"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(explain): _________________ </w:t>
      </w:r>
    </w:p>
    <w:p w14:paraId="4840BFEE"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Other (specify): _________________ </w:t>
      </w:r>
    </w:p>
    <w:p w14:paraId="770FF84E"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(explain): _________________ </w:t>
      </w:r>
    </w:p>
    <w:p w14:paraId="3AB5C94A"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Not applicable  </w:t>
      </w:r>
    </w:p>
    <w:p w14:paraId="6AF7E696"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4355E601"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Margin Status for Noninvasive Tumor  </w:t>
      </w:r>
    </w:p>
    <w:p w14:paraId="51658237"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Not applicable  </w:t>
      </w:r>
    </w:p>
    <w:p w14:paraId="3E414741"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All margins negative for in situ disease  </w:t>
      </w:r>
    </w:p>
    <w:p w14:paraId="69576932" w14:textId="77777777" w:rsidR="00CA3343" w:rsidRPr="0077122A" w:rsidRDefault="00FB191C" w:rsidP="0077122A">
      <w:pPr>
        <w:spacing w:after="0" w:line="276" w:lineRule="auto"/>
        <w:ind w:firstLine="240"/>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+Distance from Noninvasive Tumor to Closest Margin  </w:t>
      </w:r>
    </w:p>
    <w:p w14:paraId="596B822C" w14:textId="77777777" w:rsidR="00CA3343" w:rsidRPr="0077122A" w:rsidRDefault="00FB191C" w:rsidP="0077122A">
      <w:pPr>
        <w:spacing w:after="0" w:line="276" w:lineRule="auto"/>
        <w:ind w:firstLine="240"/>
        <w:rPr>
          <w:rFonts w:ascii="Arial" w:eastAsia="Times New Roman" w:hAnsi="Arial" w:cs="Arial"/>
          <w:i/>
          <w:iCs/>
          <w:sz w:val="16"/>
          <w:szCs w:val="16"/>
          <w:lang w:val="en"/>
        </w:rPr>
      </w:pPr>
      <w:r w:rsidRPr="0077122A">
        <w:rPr>
          <w:rFonts w:ascii="Arial" w:eastAsia="Times New Roman" w:hAnsi="Arial" w:cs="Arial"/>
          <w:i/>
          <w:iCs/>
          <w:sz w:val="16"/>
          <w:szCs w:val="16"/>
          <w:lang w:val="en"/>
        </w:rPr>
        <w:t xml:space="preserve">Specify in Millimeters (mm)  </w:t>
      </w:r>
    </w:p>
    <w:p w14:paraId="0C6DB81D"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___ Exact distance: _________________ mm</w:t>
      </w:r>
    </w:p>
    <w:p w14:paraId="683CFA1D"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___ Greater than: _________________ mm</w:t>
      </w:r>
    </w:p>
    <w:p w14:paraId="0654129D"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Less than 1 mm  </w:t>
      </w:r>
    </w:p>
    <w:p w14:paraId="625ACFF9"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Other (specify): _________________ </w:t>
      </w:r>
    </w:p>
    <w:p w14:paraId="50E97379"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_________________ </w:t>
      </w:r>
    </w:p>
    <w:p w14:paraId="0DAD9D2F" w14:textId="77777777" w:rsidR="00074FE8" w:rsidRDefault="00074FE8" w:rsidP="0077122A">
      <w:pPr>
        <w:spacing w:after="0" w:line="276" w:lineRule="auto"/>
        <w:ind w:firstLine="240"/>
        <w:rPr>
          <w:rFonts w:ascii="Arial" w:eastAsia="Times New Roman" w:hAnsi="Arial" w:cs="Arial"/>
          <w:b/>
          <w:bCs/>
          <w:sz w:val="20"/>
          <w:szCs w:val="20"/>
          <w:lang w:val="en"/>
        </w:rPr>
      </w:pPr>
    </w:p>
    <w:p w14:paraId="26FFD801" w14:textId="3C6F1CB8" w:rsidR="00CA3343" w:rsidRPr="0077122A" w:rsidRDefault="00FB191C" w:rsidP="0077122A">
      <w:pPr>
        <w:spacing w:after="0" w:line="276" w:lineRule="auto"/>
        <w:ind w:firstLine="240"/>
        <w:rPr>
          <w:rFonts w:ascii="Arial" w:eastAsia="Times New Roman" w:hAnsi="Arial" w:cs="Arial"/>
          <w:b/>
          <w:bCs/>
          <w:sz w:val="20"/>
          <w:szCs w:val="20"/>
          <w:lang w:val="en"/>
        </w:rPr>
      </w:pPr>
      <w:r w:rsidRPr="0077122A">
        <w:rPr>
          <w:rFonts w:ascii="Arial" w:eastAsia="Times New Roman" w:hAnsi="Arial" w:cs="Arial"/>
          <w:b/>
          <w:bCs/>
          <w:sz w:val="20"/>
          <w:szCs w:val="20"/>
          <w:lang w:val="en"/>
        </w:rPr>
        <w:lastRenderedPageBreak/>
        <w:t xml:space="preserve">+Closest Margin(s) to Noninvasive Tumor  </w:t>
      </w:r>
    </w:p>
    <w:p w14:paraId="400E592F"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Specify closest margin(s): _________________ </w:t>
      </w:r>
    </w:p>
    <w:p w14:paraId="01802A1C"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w:t>
      </w:r>
    </w:p>
    <w:p w14:paraId="2CDC12F8"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In situ disease present at margin  </w:t>
      </w:r>
    </w:p>
    <w:p w14:paraId="11D080AD" w14:textId="5873BB7C" w:rsidR="00CA3343" w:rsidRPr="0077122A" w:rsidRDefault="00FB191C" w:rsidP="0077122A">
      <w:pPr>
        <w:spacing w:after="0" w:line="276" w:lineRule="auto"/>
        <w:ind w:firstLine="240"/>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Margin(s) Involved by Noninvasive Tumor (select all that apply) </w:t>
      </w:r>
    </w:p>
    <w:p w14:paraId="06E51DE4"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Peripheral: _________________ </w:t>
      </w:r>
    </w:p>
    <w:p w14:paraId="1EB87608"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Deep: _________________ </w:t>
      </w:r>
    </w:p>
    <w:p w14:paraId="2594C399"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Other (specify): _________________ </w:t>
      </w:r>
    </w:p>
    <w:p w14:paraId="572086A1"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(explain): _________________ </w:t>
      </w:r>
    </w:p>
    <w:p w14:paraId="15D9BFF8"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Other (specify): _________________ </w:t>
      </w:r>
    </w:p>
    <w:p w14:paraId="5DA6576C"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(explain): _________________ </w:t>
      </w:r>
    </w:p>
    <w:p w14:paraId="5174AB44"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03DB322A"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REGIONAL LYMPH NODES (Note </w:t>
      </w:r>
      <w:hyperlink w:anchor="N9538" w:history="1">
        <w:r w:rsidRPr="0077122A">
          <w:rPr>
            <w:rStyle w:val="Hyperlink"/>
            <w:rFonts w:ascii="Arial" w:eastAsia="Times New Roman" w:hAnsi="Arial" w:cs="Arial"/>
            <w:b/>
            <w:bCs/>
            <w:sz w:val="20"/>
            <w:szCs w:val="20"/>
            <w:lang w:val="en"/>
          </w:rPr>
          <w:t>G</w:t>
        </w:r>
      </w:hyperlink>
      <w:r w:rsidRPr="0077122A">
        <w:rPr>
          <w:rFonts w:ascii="Arial" w:eastAsia="Times New Roman" w:hAnsi="Arial" w:cs="Arial"/>
          <w:b/>
          <w:bCs/>
          <w:sz w:val="20"/>
          <w:szCs w:val="20"/>
          <w:lang w:val="en"/>
        </w:rPr>
        <w:t xml:space="preserve">) </w:t>
      </w:r>
    </w:p>
    <w:p w14:paraId="0B201C4D"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69EA5B6F"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Regional Lymph Node Status  </w:t>
      </w:r>
    </w:p>
    <w:p w14:paraId="5EC2AAA2"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Not applicable (no regional lymph nodes submitted or found)  </w:t>
      </w:r>
    </w:p>
    <w:p w14:paraId="6D18E59C"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Regional lymph nodes present  </w:t>
      </w:r>
    </w:p>
    <w:p w14:paraId="6F2D8CED"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All regional lymph nodes negative for tumor  </w:t>
      </w:r>
    </w:p>
    <w:p w14:paraId="418458A8"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Tumor present in regional lymph node(s)  </w:t>
      </w:r>
    </w:p>
    <w:p w14:paraId="0D4A08EA" w14:textId="77777777" w:rsidR="00CA3343" w:rsidRPr="0077122A" w:rsidRDefault="00FB191C" w:rsidP="0077122A">
      <w:pPr>
        <w:spacing w:after="0" w:line="276" w:lineRule="auto"/>
        <w:ind w:firstLine="480"/>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Number of Lymph Nodes with Tumor  </w:t>
      </w:r>
    </w:p>
    <w:p w14:paraId="6C44B15A" w14:textId="77777777" w:rsidR="00CA3343" w:rsidRPr="0077122A" w:rsidRDefault="00FB191C" w:rsidP="0077122A">
      <w:pPr>
        <w:spacing w:after="0" w:line="276" w:lineRule="auto"/>
        <w:ind w:firstLine="480"/>
        <w:rPr>
          <w:rFonts w:ascii="Arial" w:eastAsia="Times New Roman" w:hAnsi="Arial" w:cs="Arial"/>
          <w:sz w:val="20"/>
          <w:szCs w:val="20"/>
          <w:lang w:val="en"/>
        </w:rPr>
      </w:pPr>
      <w:r w:rsidRPr="0077122A">
        <w:rPr>
          <w:rFonts w:ascii="Arial" w:eastAsia="Times New Roman" w:hAnsi="Arial" w:cs="Arial"/>
          <w:sz w:val="20"/>
          <w:szCs w:val="20"/>
          <w:lang w:val="en"/>
        </w:rPr>
        <w:t xml:space="preserve">___ Exact number (specify): _________________ </w:t>
      </w:r>
    </w:p>
    <w:p w14:paraId="2254BA51" w14:textId="77777777" w:rsidR="00CA3343" w:rsidRPr="0077122A" w:rsidRDefault="00FB191C" w:rsidP="0077122A">
      <w:pPr>
        <w:spacing w:after="0" w:line="276" w:lineRule="auto"/>
        <w:ind w:firstLine="480"/>
        <w:rPr>
          <w:rFonts w:ascii="Arial" w:eastAsia="Times New Roman" w:hAnsi="Arial" w:cs="Arial"/>
          <w:sz w:val="20"/>
          <w:szCs w:val="20"/>
          <w:lang w:val="en"/>
        </w:rPr>
      </w:pPr>
      <w:r w:rsidRPr="0077122A">
        <w:rPr>
          <w:rFonts w:ascii="Arial" w:eastAsia="Times New Roman" w:hAnsi="Arial" w:cs="Arial"/>
          <w:sz w:val="20"/>
          <w:szCs w:val="20"/>
          <w:lang w:val="en"/>
        </w:rPr>
        <w:t xml:space="preserve">___ At least (specify): _________________ </w:t>
      </w:r>
    </w:p>
    <w:p w14:paraId="277C6934" w14:textId="77777777" w:rsidR="00CA3343" w:rsidRPr="0077122A" w:rsidRDefault="00FB191C" w:rsidP="0077122A">
      <w:pPr>
        <w:spacing w:after="0" w:line="276" w:lineRule="auto"/>
        <w:ind w:firstLine="480"/>
        <w:rPr>
          <w:rFonts w:ascii="Arial" w:eastAsia="Times New Roman" w:hAnsi="Arial" w:cs="Arial"/>
          <w:sz w:val="20"/>
          <w:szCs w:val="20"/>
          <w:lang w:val="en"/>
        </w:rPr>
      </w:pPr>
      <w:r w:rsidRPr="0077122A">
        <w:rPr>
          <w:rFonts w:ascii="Arial" w:eastAsia="Times New Roman" w:hAnsi="Arial" w:cs="Arial"/>
          <w:sz w:val="20"/>
          <w:szCs w:val="20"/>
          <w:lang w:val="en"/>
        </w:rPr>
        <w:t xml:space="preserve">___ Other (specify): _________________ </w:t>
      </w:r>
    </w:p>
    <w:p w14:paraId="6ADCB712" w14:textId="77777777" w:rsidR="00CA3343" w:rsidRPr="0077122A" w:rsidRDefault="00FB191C" w:rsidP="0077122A">
      <w:pPr>
        <w:spacing w:after="0" w:line="276" w:lineRule="auto"/>
        <w:ind w:firstLine="480"/>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w:t>
      </w:r>
    </w:p>
    <w:p w14:paraId="30681CCF" w14:textId="77777777" w:rsidR="00CA3343" w:rsidRPr="0077122A" w:rsidRDefault="00FB191C" w:rsidP="0077122A">
      <w:pPr>
        <w:spacing w:after="0" w:line="276" w:lineRule="auto"/>
        <w:ind w:firstLine="480"/>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Laterality of Lymph Node(s) with Tumor  </w:t>
      </w:r>
    </w:p>
    <w:p w14:paraId="25260100" w14:textId="77777777" w:rsidR="00CA3343" w:rsidRPr="0077122A" w:rsidRDefault="00FB191C" w:rsidP="0077122A">
      <w:pPr>
        <w:spacing w:after="0" w:line="276" w:lineRule="auto"/>
        <w:ind w:firstLine="480"/>
        <w:rPr>
          <w:rFonts w:ascii="Arial" w:eastAsia="Times New Roman" w:hAnsi="Arial" w:cs="Arial"/>
          <w:sz w:val="20"/>
          <w:szCs w:val="20"/>
          <w:lang w:val="en"/>
        </w:rPr>
      </w:pPr>
      <w:r w:rsidRPr="0077122A">
        <w:rPr>
          <w:rFonts w:ascii="Arial" w:eastAsia="Times New Roman" w:hAnsi="Arial" w:cs="Arial"/>
          <w:sz w:val="20"/>
          <w:szCs w:val="20"/>
          <w:lang w:val="en"/>
        </w:rPr>
        <w:t xml:space="preserve">___ Ipsilateral (including midline): _________________ </w:t>
      </w:r>
    </w:p>
    <w:p w14:paraId="3E0121A2" w14:textId="77777777" w:rsidR="00CA3343" w:rsidRPr="0077122A" w:rsidRDefault="00FB191C" w:rsidP="0077122A">
      <w:pPr>
        <w:spacing w:after="0" w:line="276" w:lineRule="auto"/>
        <w:ind w:firstLine="480"/>
        <w:rPr>
          <w:rFonts w:ascii="Arial" w:eastAsia="Times New Roman" w:hAnsi="Arial" w:cs="Arial"/>
          <w:sz w:val="20"/>
          <w:szCs w:val="20"/>
          <w:lang w:val="en"/>
        </w:rPr>
      </w:pPr>
      <w:r w:rsidRPr="0077122A">
        <w:rPr>
          <w:rFonts w:ascii="Arial" w:eastAsia="Times New Roman" w:hAnsi="Arial" w:cs="Arial"/>
          <w:sz w:val="20"/>
          <w:szCs w:val="20"/>
          <w:lang w:val="en"/>
        </w:rPr>
        <w:t xml:space="preserve">___ Contralateral: _________________ </w:t>
      </w:r>
    </w:p>
    <w:p w14:paraId="4C742C60" w14:textId="77777777" w:rsidR="00CA3343" w:rsidRPr="0077122A" w:rsidRDefault="00FB191C" w:rsidP="0077122A">
      <w:pPr>
        <w:spacing w:after="0" w:line="276" w:lineRule="auto"/>
        <w:ind w:firstLine="480"/>
        <w:rPr>
          <w:rFonts w:ascii="Arial" w:eastAsia="Times New Roman" w:hAnsi="Arial" w:cs="Arial"/>
          <w:sz w:val="20"/>
          <w:szCs w:val="20"/>
          <w:lang w:val="en"/>
        </w:rPr>
      </w:pPr>
      <w:r w:rsidRPr="0077122A">
        <w:rPr>
          <w:rFonts w:ascii="Arial" w:eastAsia="Times New Roman" w:hAnsi="Arial" w:cs="Arial"/>
          <w:sz w:val="20"/>
          <w:szCs w:val="20"/>
          <w:lang w:val="en"/>
        </w:rPr>
        <w:t xml:space="preserve">___ Bilateral: _________________ </w:t>
      </w:r>
    </w:p>
    <w:p w14:paraId="1FD747A1" w14:textId="77777777" w:rsidR="00CA3343" w:rsidRPr="0077122A" w:rsidRDefault="00FB191C" w:rsidP="0077122A">
      <w:pPr>
        <w:spacing w:after="0" w:line="276" w:lineRule="auto"/>
        <w:ind w:firstLine="480"/>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_________________ </w:t>
      </w:r>
    </w:p>
    <w:p w14:paraId="20E39C6B" w14:textId="77777777" w:rsidR="00CA3343" w:rsidRPr="0077122A" w:rsidRDefault="00FB191C" w:rsidP="0077122A">
      <w:pPr>
        <w:spacing w:after="0" w:line="276" w:lineRule="auto"/>
        <w:ind w:firstLine="480"/>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Size of Largest Nodal Metastatic Deposit  </w:t>
      </w:r>
    </w:p>
    <w:p w14:paraId="56F47FCC" w14:textId="77777777" w:rsidR="00CA3343" w:rsidRPr="0077122A" w:rsidRDefault="00FB191C" w:rsidP="0077122A">
      <w:pPr>
        <w:spacing w:after="0" w:line="276" w:lineRule="auto"/>
        <w:ind w:firstLine="480"/>
        <w:rPr>
          <w:rFonts w:ascii="Arial" w:eastAsia="Times New Roman" w:hAnsi="Arial" w:cs="Arial"/>
          <w:i/>
          <w:iCs/>
          <w:sz w:val="16"/>
          <w:szCs w:val="16"/>
          <w:lang w:val="en"/>
        </w:rPr>
      </w:pPr>
      <w:r w:rsidRPr="0077122A">
        <w:rPr>
          <w:rFonts w:ascii="Arial" w:eastAsia="Times New Roman" w:hAnsi="Arial" w:cs="Arial"/>
          <w:i/>
          <w:iCs/>
          <w:sz w:val="16"/>
          <w:szCs w:val="16"/>
          <w:lang w:val="en"/>
        </w:rPr>
        <w:t xml:space="preserve">Specify in Centimeters (cm)  </w:t>
      </w:r>
    </w:p>
    <w:p w14:paraId="7CD7A786" w14:textId="77777777" w:rsidR="00CA3343" w:rsidRPr="0077122A" w:rsidRDefault="00FB191C" w:rsidP="0077122A">
      <w:pPr>
        <w:spacing w:after="0" w:line="276" w:lineRule="auto"/>
        <w:ind w:firstLine="480"/>
        <w:rPr>
          <w:rFonts w:ascii="Arial" w:eastAsia="Times New Roman" w:hAnsi="Arial" w:cs="Arial"/>
          <w:sz w:val="20"/>
          <w:szCs w:val="20"/>
          <w:lang w:val="en"/>
        </w:rPr>
      </w:pPr>
      <w:r w:rsidRPr="0077122A">
        <w:rPr>
          <w:rFonts w:ascii="Arial" w:eastAsia="Times New Roman" w:hAnsi="Arial" w:cs="Arial"/>
          <w:sz w:val="20"/>
          <w:szCs w:val="20"/>
          <w:lang w:val="en"/>
        </w:rPr>
        <w:t>___ Exact size (specify): _________________ cm</w:t>
      </w:r>
    </w:p>
    <w:p w14:paraId="7842A787" w14:textId="77777777" w:rsidR="00CA3343" w:rsidRPr="0077122A" w:rsidRDefault="00FB191C" w:rsidP="0077122A">
      <w:pPr>
        <w:spacing w:after="0" w:line="276" w:lineRule="auto"/>
        <w:ind w:firstLine="480"/>
        <w:rPr>
          <w:rFonts w:ascii="Arial" w:eastAsia="Times New Roman" w:hAnsi="Arial" w:cs="Arial"/>
          <w:sz w:val="20"/>
          <w:szCs w:val="20"/>
          <w:lang w:val="en"/>
        </w:rPr>
      </w:pPr>
      <w:r w:rsidRPr="0077122A">
        <w:rPr>
          <w:rFonts w:ascii="Arial" w:eastAsia="Times New Roman" w:hAnsi="Arial" w:cs="Arial"/>
          <w:sz w:val="20"/>
          <w:szCs w:val="20"/>
          <w:lang w:val="en"/>
        </w:rPr>
        <w:t>___ At least (specify): _________________ cm</w:t>
      </w:r>
    </w:p>
    <w:p w14:paraId="3021DCF5" w14:textId="77777777" w:rsidR="00CA3343" w:rsidRPr="0077122A" w:rsidRDefault="00FB191C" w:rsidP="0077122A">
      <w:pPr>
        <w:spacing w:after="0" w:line="276" w:lineRule="auto"/>
        <w:ind w:firstLine="480"/>
        <w:rPr>
          <w:rFonts w:ascii="Arial" w:eastAsia="Times New Roman" w:hAnsi="Arial" w:cs="Arial"/>
          <w:sz w:val="20"/>
          <w:szCs w:val="20"/>
          <w:lang w:val="en"/>
        </w:rPr>
      </w:pPr>
      <w:r w:rsidRPr="0077122A">
        <w:rPr>
          <w:rFonts w:ascii="Arial" w:eastAsia="Times New Roman" w:hAnsi="Arial" w:cs="Arial"/>
          <w:sz w:val="20"/>
          <w:szCs w:val="20"/>
          <w:lang w:val="en"/>
        </w:rPr>
        <w:t>___ Greater than: _________________ cm</w:t>
      </w:r>
    </w:p>
    <w:p w14:paraId="1E2660AC" w14:textId="77777777" w:rsidR="00CA3343" w:rsidRPr="0077122A" w:rsidRDefault="00FB191C" w:rsidP="0077122A">
      <w:pPr>
        <w:spacing w:after="0" w:line="276" w:lineRule="auto"/>
        <w:ind w:firstLine="480"/>
        <w:rPr>
          <w:rFonts w:ascii="Arial" w:eastAsia="Times New Roman" w:hAnsi="Arial" w:cs="Arial"/>
          <w:sz w:val="20"/>
          <w:szCs w:val="20"/>
          <w:lang w:val="en"/>
        </w:rPr>
      </w:pPr>
      <w:r w:rsidRPr="0077122A">
        <w:rPr>
          <w:rFonts w:ascii="Arial" w:eastAsia="Times New Roman" w:hAnsi="Arial" w:cs="Arial"/>
          <w:sz w:val="20"/>
          <w:szCs w:val="20"/>
          <w:lang w:val="en"/>
        </w:rPr>
        <w:t>___ Less than: _________________ cm</w:t>
      </w:r>
    </w:p>
    <w:p w14:paraId="41576CC4" w14:textId="77777777" w:rsidR="00CA3343" w:rsidRPr="0077122A" w:rsidRDefault="00FB191C" w:rsidP="0077122A">
      <w:pPr>
        <w:spacing w:after="0" w:line="276" w:lineRule="auto"/>
        <w:ind w:firstLine="480"/>
        <w:rPr>
          <w:rFonts w:ascii="Arial" w:eastAsia="Times New Roman" w:hAnsi="Arial" w:cs="Arial"/>
          <w:sz w:val="20"/>
          <w:szCs w:val="20"/>
          <w:lang w:val="en"/>
        </w:rPr>
      </w:pPr>
      <w:r w:rsidRPr="0077122A">
        <w:rPr>
          <w:rFonts w:ascii="Arial" w:eastAsia="Times New Roman" w:hAnsi="Arial" w:cs="Arial"/>
          <w:sz w:val="20"/>
          <w:szCs w:val="20"/>
          <w:lang w:val="en"/>
        </w:rPr>
        <w:t xml:space="preserve">___ Other (specify): _________________ </w:t>
      </w:r>
    </w:p>
    <w:p w14:paraId="51F48394" w14:textId="77777777" w:rsidR="00CA3343" w:rsidRPr="0077122A" w:rsidRDefault="00FB191C" w:rsidP="0077122A">
      <w:pPr>
        <w:spacing w:after="0" w:line="276" w:lineRule="auto"/>
        <w:ind w:firstLine="480"/>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_________________ </w:t>
      </w:r>
    </w:p>
    <w:p w14:paraId="2C689F95" w14:textId="77777777" w:rsidR="00CA3343" w:rsidRPr="0077122A" w:rsidRDefault="00FB191C" w:rsidP="0077122A">
      <w:pPr>
        <w:spacing w:after="0" w:line="276" w:lineRule="auto"/>
        <w:ind w:firstLine="480"/>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Extranodal Extension (ENE) (Note </w:t>
      </w:r>
      <w:hyperlink w:anchor="N9538" w:history="1">
        <w:r w:rsidRPr="0077122A">
          <w:rPr>
            <w:rStyle w:val="Hyperlink"/>
            <w:rFonts w:ascii="Arial" w:eastAsia="Times New Roman" w:hAnsi="Arial" w:cs="Arial"/>
            <w:b/>
            <w:bCs/>
            <w:sz w:val="20"/>
            <w:szCs w:val="20"/>
            <w:lang w:val="en"/>
          </w:rPr>
          <w:t>G</w:t>
        </w:r>
      </w:hyperlink>
      <w:r w:rsidRPr="0077122A">
        <w:rPr>
          <w:rFonts w:ascii="Arial" w:eastAsia="Times New Roman" w:hAnsi="Arial" w:cs="Arial"/>
          <w:b/>
          <w:bCs/>
          <w:sz w:val="20"/>
          <w:szCs w:val="20"/>
          <w:lang w:val="en"/>
        </w:rPr>
        <w:t xml:space="preserve">) </w:t>
      </w:r>
    </w:p>
    <w:p w14:paraId="44BED04D" w14:textId="77777777" w:rsidR="00CA3343" w:rsidRPr="0077122A" w:rsidRDefault="00FB191C" w:rsidP="0077122A">
      <w:pPr>
        <w:spacing w:after="0" w:line="276" w:lineRule="auto"/>
        <w:ind w:firstLine="480"/>
        <w:rPr>
          <w:rFonts w:ascii="Arial" w:eastAsia="Times New Roman" w:hAnsi="Arial" w:cs="Arial"/>
          <w:sz w:val="20"/>
          <w:szCs w:val="20"/>
          <w:lang w:val="en"/>
        </w:rPr>
      </w:pPr>
      <w:r w:rsidRPr="0077122A">
        <w:rPr>
          <w:rFonts w:ascii="Arial" w:eastAsia="Times New Roman" w:hAnsi="Arial" w:cs="Arial"/>
          <w:sz w:val="20"/>
          <w:szCs w:val="20"/>
          <w:lang w:val="en"/>
        </w:rPr>
        <w:t xml:space="preserve">___ Not identified  </w:t>
      </w:r>
    </w:p>
    <w:p w14:paraId="6749E426" w14:textId="77777777" w:rsidR="00CA3343" w:rsidRPr="0077122A" w:rsidRDefault="00FB191C" w:rsidP="0077122A">
      <w:pPr>
        <w:spacing w:after="0" w:line="276" w:lineRule="auto"/>
        <w:ind w:firstLine="480"/>
        <w:rPr>
          <w:rFonts w:ascii="Arial" w:eastAsia="Times New Roman" w:hAnsi="Arial" w:cs="Arial"/>
          <w:sz w:val="20"/>
          <w:szCs w:val="20"/>
          <w:lang w:val="en"/>
        </w:rPr>
      </w:pPr>
      <w:r w:rsidRPr="0077122A">
        <w:rPr>
          <w:rFonts w:ascii="Arial" w:eastAsia="Times New Roman" w:hAnsi="Arial" w:cs="Arial"/>
          <w:sz w:val="20"/>
          <w:szCs w:val="20"/>
          <w:lang w:val="en"/>
        </w:rPr>
        <w:t xml:space="preserve">___ Present  </w:t>
      </w:r>
    </w:p>
    <w:p w14:paraId="18C27F44" w14:textId="77777777" w:rsidR="00CA3343" w:rsidRPr="0077122A" w:rsidRDefault="00FB191C" w:rsidP="0077122A">
      <w:pPr>
        <w:spacing w:after="0" w:line="276" w:lineRule="auto"/>
        <w:ind w:firstLine="480"/>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_________________ </w:t>
      </w:r>
    </w:p>
    <w:p w14:paraId="78991809"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Other (specify): _________________ </w:t>
      </w:r>
    </w:p>
    <w:p w14:paraId="243C0449"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(explain): _________________ </w:t>
      </w:r>
    </w:p>
    <w:p w14:paraId="0BF9BB30" w14:textId="77777777" w:rsidR="00074FE8" w:rsidRDefault="00074FE8" w:rsidP="0077122A">
      <w:pPr>
        <w:spacing w:after="0" w:line="276" w:lineRule="auto"/>
        <w:ind w:firstLine="240"/>
        <w:rPr>
          <w:rFonts w:ascii="Arial" w:eastAsia="Times New Roman" w:hAnsi="Arial" w:cs="Arial"/>
          <w:b/>
          <w:bCs/>
          <w:sz w:val="20"/>
          <w:szCs w:val="20"/>
          <w:lang w:val="en"/>
        </w:rPr>
      </w:pPr>
    </w:p>
    <w:p w14:paraId="311C8167" w14:textId="77777777" w:rsidR="00074FE8" w:rsidRDefault="00074FE8" w:rsidP="0077122A">
      <w:pPr>
        <w:spacing w:after="0" w:line="276" w:lineRule="auto"/>
        <w:ind w:firstLine="240"/>
        <w:rPr>
          <w:rFonts w:ascii="Arial" w:eastAsia="Times New Roman" w:hAnsi="Arial" w:cs="Arial"/>
          <w:b/>
          <w:bCs/>
          <w:sz w:val="20"/>
          <w:szCs w:val="20"/>
          <w:lang w:val="en"/>
        </w:rPr>
      </w:pPr>
    </w:p>
    <w:p w14:paraId="01783C27" w14:textId="77777777" w:rsidR="00074FE8" w:rsidRDefault="00074FE8" w:rsidP="0077122A">
      <w:pPr>
        <w:spacing w:after="0" w:line="276" w:lineRule="auto"/>
        <w:ind w:firstLine="240"/>
        <w:rPr>
          <w:rFonts w:ascii="Arial" w:eastAsia="Times New Roman" w:hAnsi="Arial" w:cs="Arial"/>
          <w:b/>
          <w:bCs/>
          <w:sz w:val="20"/>
          <w:szCs w:val="20"/>
          <w:lang w:val="en"/>
        </w:rPr>
      </w:pPr>
    </w:p>
    <w:p w14:paraId="5FD2B6A6" w14:textId="77777777" w:rsidR="00074FE8" w:rsidRDefault="00074FE8" w:rsidP="0077122A">
      <w:pPr>
        <w:spacing w:after="0" w:line="276" w:lineRule="auto"/>
        <w:ind w:firstLine="240"/>
        <w:rPr>
          <w:rFonts w:ascii="Arial" w:eastAsia="Times New Roman" w:hAnsi="Arial" w:cs="Arial"/>
          <w:b/>
          <w:bCs/>
          <w:sz w:val="20"/>
          <w:szCs w:val="20"/>
          <w:lang w:val="en"/>
        </w:rPr>
      </w:pPr>
    </w:p>
    <w:p w14:paraId="2D7D3777" w14:textId="7CA84E59" w:rsidR="00CA3343" w:rsidRPr="0077122A" w:rsidRDefault="00FB191C" w:rsidP="0077122A">
      <w:pPr>
        <w:spacing w:after="0" w:line="276" w:lineRule="auto"/>
        <w:ind w:firstLine="240"/>
        <w:rPr>
          <w:rFonts w:ascii="Arial" w:eastAsia="Times New Roman" w:hAnsi="Arial" w:cs="Arial"/>
          <w:b/>
          <w:bCs/>
          <w:sz w:val="20"/>
          <w:szCs w:val="20"/>
          <w:lang w:val="en"/>
        </w:rPr>
      </w:pPr>
      <w:r w:rsidRPr="0077122A">
        <w:rPr>
          <w:rFonts w:ascii="Arial" w:eastAsia="Times New Roman" w:hAnsi="Arial" w:cs="Arial"/>
          <w:b/>
          <w:bCs/>
          <w:sz w:val="20"/>
          <w:szCs w:val="20"/>
          <w:lang w:val="en"/>
        </w:rPr>
        <w:lastRenderedPageBreak/>
        <w:t xml:space="preserve">Number of Lymph Nodes Examined  </w:t>
      </w:r>
    </w:p>
    <w:p w14:paraId="37C5ACFE"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Exact number (specify): _________________ </w:t>
      </w:r>
    </w:p>
    <w:p w14:paraId="358A612B"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At least (specify): _________________ </w:t>
      </w:r>
    </w:p>
    <w:p w14:paraId="18BE80BF"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Other (specify): _________________ </w:t>
      </w:r>
    </w:p>
    <w:p w14:paraId="5F5DD5DC"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w:t>
      </w:r>
    </w:p>
    <w:p w14:paraId="2DE234C9"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5A0FD105"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+Regional Lymph Node Comment: _________________ </w:t>
      </w:r>
    </w:p>
    <w:p w14:paraId="2BD28A07"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470606E2"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DISTANT METASTASIS  </w:t>
      </w:r>
    </w:p>
    <w:p w14:paraId="4D42EBDC"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1B5F3602" w14:textId="66E631D1"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Distant Site(s) Involved, if applicable (select all that apply)</w:t>
      </w:r>
    </w:p>
    <w:p w14:paraId="2EA7B176"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Not applicable  </w:t>
      </w:r>
    </w:p>
    <w:p w14:paraId="724FC153"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Lung: _________________ </w:t>
      </w:r>
    </w:p>
    <w:p w14:paraId="78B87599"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Bone: _________________ </w:t>
      </w:r>
    </w:p>
    <w:p w14:paraId="578476E0"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Brain: _________________ </w:t>
      </w:r>
    </w:p>
    <w:p w14:paraId="0FD158CD"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Liver: _________________ </w:t>
      </w:r>
    </w:p>
    <w:p w14:paraId="6D4879C0"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Other (specify): _________________ </w:t>
      </w:r>
    </w:p>
    <w:p w14:paraId="1073AD52"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Cannot be determined: _________________ </w:t>
      </w:r>
    </w:p>
    <w:p w14:paraId="40CCCBED"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0BB8123A"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PATHOLOGIC STAGE CLASSIFICATION (pTNM, AJCC 8th Edition) (Note </w:t>
      </w:r>
      <w:hyperlink w:anchor="N9539" w:history="1">
        <w:r w:rsidRPr="0077122A">
          <w:rPr>
            <w:rStyle w:val="Hyperlink"/>
            <w:rFonts w:ascii="Arial" w:eastAsia="Times New Roman" w:hAnsi="Arial" w:cs="Arial"/>
            <w:b/>
            <w:bCs/>
            <w:sz w:val="20"/>
            <w:szCs w:val="20"/>
            <w:lang w:val="en"/>
          </w:rPr>
          <w:t>H</w:t>
        </w:r>
      </w:hyperlink>
      <w:r w:rsidRPr="0077122A">
        <w:rPr>
          <w:rFonts w:ascii="Arial" w:eastAsia="Times New Roman" w:hAnsi="Arial" w:cs="Arial"/>
          <w:b/>
          <w:bCs/>
          <w:sz w:val="20"/>
          <w:szCs w:val="20"/>
          <w:lang w:val="en"/>
        </w:rPr>
        <w:t xml:space="preserve">) </w:t>
      </w:r>
    </w:p>
    <w:p w14:paraId="2F9FE75B" w14:textId="77777777" w:rsidR="00CA3343" w:rsidRPr="0077122A" w:rsidRDefault="00FB191C" w:rsidP="0077122A">
      <w:pPr>
        <w:spacing w:after="0" w:line="276" w:lineRule="auto"/>
        <w:rPr>
          <w:rFonts w:ascii="Arial" w:eastAsia="Times New Roman" w:hAnsi="Arial" w:cs="Arial"/>
          <w:i/>
          <w:iCs/>
          <w:sz w:val="16"/>
          <w:szCs w:val="16"/>
          <w:lang w:val="en"/>
        </w:rPr>
      </w:pPr>
      <w:r w:rsidRPr="0077122A">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247B4EF3"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29907F4B" w14:textId="106E3045"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TNM Descriptors (select all that apply) </w:t>
      </w:r>
    </w:p>
    <w:p w14:paraId="277030DF"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Not applicable  </w:t>
      </w:r>
    </w:p>
    <w:p w14:paraId="160F9F93"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m (multiple primary tumors)  </w:t>
      </w:r>
    </w:p>
    <w:p w14:paraId="70698598"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r (recurrent)  </w:t>
      </w:r>
    </w:p>
    <w:p w14:paraId="1B370518"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y (post-treatment)  </w:t>
      </w:r>
    </w:p>
    <w:p w14:paraId="28CB1A59"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12BE9DC1"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pT Category  </w:t>
      </w:r>
    </w:p>
    <w:p w14:paraId="35B6AB4A"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pT not assigned (cannot be determined based on available pathological information)  </w:t>
      </w:r>
    </w:p>
    <w:p w14:paraId="3BD5F5DF"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pTis: Carcinoma in situ  </w:t>
      </w:r>
    </w:p>
    <w:p w14:paraId="1A464A80"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pT1: Tumor smaller than or equal to 2 cm in greatest dimension  </w:t>
      </w:r>
    </w:p>
    <w:p w14:paraId="15A4C5DA"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pT2: Tumor larger than 2 cm, but smaller than or equal to 4 cm in greatest dimension  </w:t>
      </w:r>
    </w:p>
    <w:p w14:paraId="6D46FC42" w14:textId="77777777" w:rsidR="00CA3343" w:rsidRPr="0077122A" w:rsidRDefault="00FB191C" w:rsidP="0077122A">
      <w:pPr>
        <w:spacing w:after="0" w:line="276" w:lineRule="auto"/>
        <w:rPr>
          <w:rFonts w:ascii="Arial" w:eastAsia="Times New Roman" w:hAnsi="Arial" w:cs="Arial"/>
          <w:i/>
          <w:iCs/>
          <w:sz w:val="16"/>
          <w:szCs w:val="16"/>
          <w:lang w:val="en"/>
        </w:rPr>
      </w:pPr>
      <w:r w:rsidRPr="0077122A">
        <w:rPr>
          <w:rFonts w:ascii="Arial" w:eastAsia="Times New Roman" w:hAnsi="Arial" w:cs="Arial"/>
          <w:i/>
          <w:iCs/>
          <w:sz w:val="16"/>
          <w:szCs w:val="16"/>
          <w:lang w:val="en"/>
        </w:rPr>
        <w:t xml:space="preserve">#Deep invasion is defined as invasion beyond the subcutaneous fat or greater than 6 mm (as measured from the granular layer of adjacent normal epidermis to the base of the tumor); perineural invasion for T3 classification is defined as tumor cells within the nerve sheath of a nerve lying deeper than the dermis or measuring 0.1 mm or larger in caliber, or presenting with clinical or radiographic involvement of named nerves without skull base invasion or transgression.  </w:t>
      </w:r>
    </w:p>
    <w:p w14:paraId="5748556E"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pT3: Tumor larger than 4 cm in maximum dimension or minor bone erosion or perineural invasion or deep invasion#  </w:t>
      </w:r>
    </w:p>
    <w:p w14:paraId="0D0234B5" w14:textId="77777777" w:rsidR="00CA3343" w:rsidRPr="0077122A" w:rsidRDefault="00FB191C" w:rsidP="0077122A">
      <w:pPr>
        <w:spacing w:after="0" w:line="276" w:lineRule="auto"/>
        <w:rPr>
          <w:rFonts w:ascii="Arial" w:eastAsia="Times New Roman" w:hAnsi="Arial" w:cs="Arial"/>
          <w:i/>
          <w:iCs/>
          <w:sz w:val="16"/>
          <w:szCs w:val="16"/>
          <w:lang w:val="en"/>
        </w:rPr>
      </w:pPr>
      <w:r w:rsidRPr="0077122A">
        <w:rPr>
          <w:rFonts w:ascii="Arial" w:eastAsia="Times New Roman" w:hAnsi="Arial" w:cs="Arial"/>
          <w:i/>
          <w:iCs/>
          <w:sz w:val="16"/>
          <w:szCs w:val="16"/>
          <w:lang w:val="en"/>
        </w:rPr>
        <w:t xml:space="preserve">pT4: Tumor with gross cortical bone / marrow, skull base invasion and / or skull base foramen invasion  </w:t>
      </w:r>
    </w:p>
    <w:p w14:paraId="28ACABC4"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pT4a: Tumor with gross cortical bone / marrow invasion  </w:t>
      </w:r>
    </w:p>
    <w:p w14:paraId="034657E5"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pT4b: Tumor with skull base invasion and / or skull base foramen involvement  </w:t>
      </w:r>
    </w:p>
    <w:p w14:paraId="3CA6AFED"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pT4 (subcategory cannot be determined)  </w:t>
      </w:r>
    </w:p>
    <w:p w14:paraId="61B7F8BB"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3EEC32DE" w14:textId="77777777" w:rsidR="00162F87" w:rsidRDefault="00162F8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9CE0269" w14:textId="6D8C6ADB"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lastRenderedPageBreak/>
        <w:t xml:space="preserve">pN Category#  </w:t>
      </w:r>
    </w:p>
    <w:p w14:paraId="1F3F663D" w14:textId="77777777" w:rsidR="00CA3343" w:rsidRPr="0077122A" w:rsidRDefault="00FB191C" w:rsidP="0077122A">
      <w:pPr>
        <w:spacing w:after="0" w:line="276" w:lineRule="auto"/>
        <w:rPr>
          <w:rFonts w:ascii="Arial" w:eastAsia="Times New Roman" w:hAnsi="Arial" w:cs="Arial"/>
          <w:i/>
          <w:iCs/>
          <w:sz w:val="16"/>
          <w:szCs w:val="16"/>
          <w:lang w:val="en"/>
        </w:rPr>
      </w:pPr>
      <w:r w:rsidRPr="0077122A">
        <w:rPr>
          <w:rFonts w:ascii="Arial" w:eastAsia="Times New Roman" w:hAnsi="Arial" w:cs="Arial"/>
          <w:i/>
          <w:iCs/>
          <w:sz w:val="16"/>
          <w:szCs w:val="16"/>
          <w:lang w:val="en"/>
        </w:rPr>
        <w:t xml:space="preserve"># A designation of “U” or “L” may be used for any N category to indicate metastasis above the lower border of the cricoid (U) or below the lower border of the cricoid (L). Similarly, clinical and pathological ENE should be recorded as ENE(−) or ENE(+).  </w:t>
      </w:r>
    </w:p>
    <w:p w14:paraId="5E4201CF"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pN not assigned (no nodes submitted or found)  </w:t>
      </w:r>
    </w:p>
    <w:p w14:paraId="254C3F43"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pN not assigned (cannot be determined based on available pathological information)  </w:t>
      </w:r>
    </w:p>
    <w:p w14:paraId="7923B7BE"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pN0: No regional lymph node metastasis  </w:t>
      </w:r>
    </w:p>
    <w:p w14:paraId="6A4CDC06"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pN1: Metastasis in a single ipsilateral lymph node, 3 cm or smaller in greatest dimension and ENE(-)  </w:t>
      </w:r>
    </w:p>
    <w:p w14:paraId="21A1B084" w14:textId="77777777" w:rsidR="00CA3343" w:rsidRPr="0077122A" w:rsidRDefault="00FB191C" w:rsidP="0077122A">
      <w:pPr>
        <w:spacing w:after="0" w:line="276" w:lineRule="auto"/>
        <w:rPr>
          <w:rFonts w:ascii="Arial" w:eastAsia="Times New Roman" w:hAnsi="Arial" w:cs="Arial"/>
          <w:i/>
          <w:iCs/>
          <w:sz w:val="16"/>
          <w:szCs w:val="16"/>
          <w:lang w:val="en"/>
        </w:rPr>
      </w:pPr>
      <w:r w:rsidRPr="0077122A">
        <w:rPr>
          <w:rFonts w:ascii="Arial" w:eastAsia="Times New Roman" w:hAnsi="Arial" w:cs="Arial"/>
          <w:i/>
          <w:iCs/>
          <w:sz w:val="16"/>
          <w:szCs w:val="16"/>
          <w:lang w:val="en"/>
        </w:rPr>
        <w:t xml:space="preserve">pN2: Metastasis in a single ipsilateral lymph node, 3 cm or smaller in greatest dimension and ENE(+); or larger than 3 cm but not larger than 6 cm in greatest dimension and ENE(-); or metastases in multiple ipsilateral lymph nodes, none larger than 6 cm in greatest dimension and ENE(-); or in bilateral or contralateral lymph node(s), none larger than 6 cm in greatest dimension, ENE(-)  </w:t>
      </w:r>
    </w:p>
    <w:p w14:paraId="52FD85BA"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pN2a: Metastasis in single ipsilateral node 3 cm or smaller in greatest dimension and ENE(+); or a single ipsilateral node larger than 3 cm but not larger than 6 cm in greatest dimension and ENE(-)  </w:t>
      </w:r>
    </w:p>
    <w:p w14:paraId="63001F3D"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pN2b: Metastases in multiple ipsilateral nodes, none larger than 6 cm in greatest dimension and ENE(-)  </w:t>
      </w:r>
    </w:p>
    <w:p w14:paraId="16BB4BDE"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pN2c: Metastases in bilateral or contralateral lymph node(s), none larger than 6 cm in greatest dimension and ENE(-)  </w:t>
      </w:r>
    </w:p>
    <w:p w14:paraId="2A5A3BEC"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pN2 (subcategory cannot be determined)  </w:t>
      </w:r>
    </w:p>
    <w:p w14:paraId="62B99005" w14:textId="77777777" w:rsidR="00CA3343" w:rsidRPr="0077122A" w:rsidRDefault="00FB191C" w:rsidP="0077122A">
      <w:pPr>
        <w:spacing w:after="0" w:line="276" w:lineRule="auto"/>
        <w:rPr>
          <w:rFonts w:ascii="Arial" w:eastAsia="Times New Roman" w:hAnsi="Arial" w:cs="Arial"/>
          <w:i/>
          <w:iCs/>
          <w:sz w:val="16"/>
          <w:szCs w:val="16"/>
          <w:lang w:val="en"/>
        </w:rPr>
      </w:pPr>
      <w:r w:rsidRPr="0077122A">
        <w:rPr>
          <w:rFonts w:ascii="Arial" w:eastAsia="Times New Roman" w:hAnsi="Arial" w:cs="Arial"/>
          <w:i/>
          <w:iCs/>
          <w:sz w:val="16"/>
          <w:szCs w:val="16"/>
          <w:lang w:val="en"/>
        </w:rPr>
        <w:t xml:space="preserve">pN3: Metastasis in a lymph node larger than 6 cm in greatest dimension and ENE(-); or in a single ipsilateral node larger than 3 cm in greatest dimension and ENE(+); or multiple ipsilateral, contralateral, or bilateral nodes, any with ENE(+); or a single contralateral node of any size and ENE(+)  </w:t>
      </w:r>
    </w:p>
    <w:p w14:paraId="03D6EE01"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pN3a: Metastasis in a lymph node larger than 6 cm in greatest dimension and ENE(-)  </w:t>
      </w:r>
    </w:p>
    <w:p w14:paraId="67755C33"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pN3b: Metastasis in a single ipsilateral node larger than 3 cm in greatest dimension and ENE(+); or multiple ipsilateral, contralateral, or bilateral nodes, any with ENE(+); or a single contralateral node of any size and ENE(+)   </w:t>
      </w:r>
    </w:p>
    <w:p w14:paraId="1C5F0771"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pN3 (subcategory cannot be determined)  </w:t>
      </w:r>
    </w:p>
    <w:p w14:paraId="04AD37A5"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043C7443"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pM Category (required only if confirmed pathologically)  </w:t>
      </w:r>
    </w:p>
    <w:p w14:paraId="1E44CE1D"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Not applicable - pM cannot be determined from the submitted specimen(s)  </w:t>
      </w:r>
    </w:p>
    <w:p w14:paraId="50A3E29C"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pM1: Distant metastasis  </w:t>
      </w:r>
    </w:p>
    <w:p w14:paraId="58EDD5EB" w14:textId="77777777" w:rsidR="000A066D" w:rsidRDefault="000A066D" w:rsidP="0077122A">
      <w:pPr>
        <w:spacing w:after="0" w:line="276" w:lineRule="auto"/>
        <w:rPr>
          <w:rFonts w:ascii="Arial" w:eastAsia="Times New Roman" w:hAnsi="Arial" w:cs="Arial"/>
          <w:b/>
          <w:bCs/>
          <w:sz w:val="20"/>
          <w:szCs w:val="20"/>
          <w:lang w:val="en"/>
        </w:rPr>
      </w:pPr>
    </w:p>
    <w:p w14:paraId="3A395DBA" w14:textId="2812164A"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Brigham and Women's (BWH) Tumor Classification System (Note </w:t>
      </w:r>
      <w:hyperlink w:anchor="N9539" w:history="1">
        <w:r w:rsidRPr="0077122A">
          <w:rPr>
            <w:rStyle w:val="Hyperlink"/>
            <w:rFonts w:ascii="Arial" w:eastAsia="Times New Roman" w:hAnsi="Arial" w:cs="Arial"/>
            <w:b/>
            <w:bCs/>
            <w:sz w:val="20"/>
            <w:szCs w:val="20"/>
            <w:lang w:val="en"/>
          </w:rPr>
          <w:t>H</w:t>
        </w:r>
      </w:hyperlink>
      <w:r w:rsidRPr="0077122A">
        <w:rPr>
          <w:rFonts w:ascii="Arial" w:eastAsia="Times New Roman" w:hAnsi="Arial" w:cs="Arial"/>
          <w:b/>
          <w:bCs/>
          <w:sz w:val="20"/>
          <w:szCs w:val="20"/>
          <w:lang w:val="en"/>
        </w:rPr>
        <w:t xml:space="preserve">) </w:t>
      </w:r>
    </w:p>
    <w:p w14:paraId="45CD875B" w14:textId="5FB5B21F" w:rsidR="00CA3343" w:rsidRPr="0077122A" w:rsidRDefault="00FB191C" w:rsidP="0077122A">
      <w:pPr>
        <w:spacing w:after="0" w:line="276" w:lineRule="auto"/>
        <w:ind w:firstLine="240"/>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+High-risk Factors (select all that apply) </w:t>
      </w:r>
    </w:p>
    <w:p w14:paraId="78CE7F47"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Tumor diameter greater than or equal to 2 cm  </w:t>
      </w:r>
    </w:p>
    <w:p w14:paraId="24F5C31A"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Poorly differentiated histology  </w:t>
      </w:r>
    </w:p>
    <w:p w14:paraId="034A7D1D"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Perineural invasion greater than or equal to 0.1 mm in caliber  </w:t>
      </w:r>
    </w:p>
    <w:p w14:paraId="5BAE6BA5" w14:textId="77777777" w:rsidR="00CA3343" w:rsidRPr="0077122A" w:rsidRDefault="00FB191C" w:rsidP="0077122A">
      <w:pPr>
        <w:spacing w:after="0" w:line="276" w:lineRule="auto"/>
        <w:ind w:left="240"/>
        <w:rPr>
          <w:rFonts w:ascii="Arial" w:eastAsia="Times New Roman" w:hAnsi="Arial" w:cs="Arial"/>
          <w:sz w:val="20"/>
          <w:szCs w:val="20"/>
          <w:lang w:val="en"/>
        </w:rPr>
      </w:pPr>
      <w:r w:rsidRPr="0077122A">
        <w:rPr>
          <w:rFonts w:ascii="Arial" w:eastAsia="Times New Roman" w:hAnsi="Arial" w:cs="Arial"/>
          <w:sz w:val="20"/>
          <w:szCs w:val="20"/>
          <w:lang w:val="en"/>
        </w:rPr>
        <w:t xml:space="preserve">___ Tumor invasion beyond subcutaneous fat (excluding bone invasion, which upgrades tumor to BWH stage T3)   </w:t>
      </w:r>
    </w:p>
    <w:p w14:paraId="4D6475EE" w14:textId="77777777" w:rsidR="00CA3343" w:rsidRPr="0077122A" w:rsidRDefault="00FB191C" w:rsidP="0077122A">
      <w:pPr>
        <w:spacing w:after="0" w:line="276" w:lineRule="auto"/>
        <w:ind w:firstLine="240"/>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+BWH Tumor Classification  </w:t>
      </w:r>
    </w:p>
    <w:p w14:paraId="220D05E7"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T1: 0 high-risk factor  </w:t>
      </w:r>
    </w:p>
    <w:p w14:paraId="68A82B9C"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T2a: 1 high-risk factor  </w:t>
      </w:r>
    </w:p>
    <w:p w14:paraId="169DDE76"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T2b: 2-3 high-risk factors  </w:t>
      </w:r>
    </w:p>
    <w:p w14:paraId="416BFFBA" w14:textId="77777777" w:rsidR="00CA3343" w:rsidRPr="0077122A" w:rsidRDefault="00FB191C" w:rsidP="0077122A">
      <w:pPr>
        <w:spacing w:after="0" w:line="276" w:lineRule="auto"/>
        <w:ind w:firstLine="240"/>
        <w:rPr>
          <w:rFonts w:ascii="Arial" w:eastAsia="Times New Roman" w:hAnsi="Arial" w:cs="Arial"/>
          <w:sz w:val="20"/>
          <w:szCs w:val="20"/>
          <w:lang w:val="en"/>
        </w:rPr>
      </w:pPr>
      <w:r w:rsidRPr="0077122A">
        <w:rPr>
          <w:rFonts w:ascii="Arial" w:eastAsia="Times New Roman" w:hAnsi="Arial" w:cs="Arial"/>
          <w:sz w:val="20"/>
          <w:szCs w:val="20"/>
          <w:lang w:val="en"/>
        </w:rPr>
        <w:t xml:space="preserve">___ T3: Greater than or equal to 4 risk factors or bone invasion  </w:t>
      </w:r>
    </w:p>
    <w:p w14:paraId="673E5883"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5DD6808A"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ADDITIONAL FINDINGS  </w:t>
      </w:r>
    </w:p>
    <w:p w14:paraId="090E1E01"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7DA1C71B" w14:textId="587F2C19"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+Additional Findings (select all that apply) </w:t>
      </w:r>
    </w:p>
    <w:p w14:paraId="4260403C"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None identified  </w:t>
      </w:r>
    </w:p>
    <w:p w14:paraId="018D0728"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Immunosuppressed status (specify cause, if known): _________________ </w:t>
      </w:r>
    </w:p>
    <w:p w14:paraId="1A583657" w14:textId="77777777" w:rsidR="00CA3343" w:rsidRPr="0077122A" w:rsidRDefault="00FB191C" w:rsidP="0077122A">
      <w:pPr>
        <w:spacing w:after="0" w:line="276" w:lineRule="auto"/>
        <w:rPr>
          <w:rFonts w:ascii="Arial" w:eastAsia="Times New Roman" w:hAnsi="Arial" w:cs="Arial"/>
          <w:sz w:val="20"/>
          <w:szCs w:val="20"/>
          <w:lang w:val="en"/>
        </w:rPr>
      </w:pPr>
      <w:r w:rsidRPr="0077122A">
        <w:rPr>
          <w:rFonts w:ascii="Arial" w:eastAsia="Times New Roman" w:hAnsi="Arial" w:cs="Arial"/>
          <w:sz w:val="20"/>
          <w:szCs w:val="20"/>
          <w:lang w:val="en"/>
        </w:rPr>
        <w:t xml:space="preserve">___ Other (specify): _________________ </w:t>
      </w:r>
    </w:p>
    <w:p w14:paraId="452972E9"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1A6A8FEB" w14:textId="77777777" w:rsidR="00FB5EFD" w:rsidRDefault="00FB5EFD" w:rsidP="0077122A">
      <w:pPr>
        <w:spacing w:after="0" w:line="276" w:lineRule="auto"/>
        <w:rPr>
          <w:rFonts w:ascii="Arial" w:eastAsia="Times New Roman" w:hAnsi="Arial" w:cs="Arial"/>
          <w:b/>
          <w:bCs/>
          <w:sz w:val="20"/>
          <w:szCs w:val="20"/>
          <w:lang w:val="en"/>
        </w:rPr>
      </w:pPr>
    </w:p>
    <w:p w14:paraId="622A28AD" w14:textId="21CB96F2"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SPECIAL STUDIES  </w:t>
      </w:r>
    </w:p>
    <w:p w14:paraId="066756B5" w14:textId="77777777" w:rsidR="00CA3343" w:rsidRPr="0077122A" w:rsidRDefault="00FB191C" w:rsidP="0077122A">
      <w:pPr>
        <w:spacing w:after="0" w:line="276" w:lineRule="auto"/>
        <w:rPr>
          <w:rFonts w:ascii="Arial" w:eastAsia="Times New Roman" w:hAnsi="Arial" w:cs="Arial"/>
          <w:i/>
          <w:iCs/>
          <w:sz w:val="16"/>
          <w:szCs w:val="16"/>
          <w:lang w:val="en"/>
        </w:rPr>
      </w:pPr>
      <w:r w:rsidRPr="0077122A">
        <w:rPr>
          <w:rFonts w:ascii="Arial" w:eastAsia="Times New Roman" w:hAnsi="Arial" w:cs="Arial"/>
          <w:i/>
          <w:iCs/>
          <w:sz w:val="16"/>
          <w:szCs w:val="16"/>
          <w:lang w:val="en"/>
        </w:rPr>
        <w:t xml:space="preserve">Biomarkers tested may be included in the section below. Pending biomarker studies may be listed in the Comments section of this report.  </w:t>
      </w:r>
    </w:p>
    <w:p w14:paraId="457619C5"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Biomarkers Tested (may repeat for up to 10 biomarkers)  </w:t>
      </w:r>
    </w:p>
    <w:p w14:paraId="5EC7875C" w14:textId="77777777" w:rsidR="00CA3343" w:rsidRPr="0077122A" w:rsidRDefault="00FB191C" w:rsidP="0077122A">
      <w:pPr>
        <w:spacing w:after="0" w:line="276" w:lineRule="auto"/>
        <w:ind w:firstLine="240"/>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+Specify Test and Result: _________________ </w:t>
      </w:r>
    </w:p>
    <w:p w14:paraId="27A0CABC"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5E8E60DE"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COMMENTS  </w:t>
      </w:r>
    </w:p>
    <w:p w14:paraId="172704EF"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4EF507F6" w14:textId="77777777" w:rsidR="00CA3343" w:rsidRPr="0077122A" w:rsidRDefault="00FB191C" w:rsidP="0077122A">
      <w:pP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t xml:space="preserve">Comment(s): _________________ </w:t>
      </w:r>
    </w:p>
    <w:p w14:paraId="293F389E" w14:textId="77777777" w:rsidR="00CA3343" w:rsidRPr="0077122A" w:rsidRDefault="00CA3343" w:rsidP="0077122A">
      <w:pPr>
        <w:spacing w:after="0" w:line="276" w:lineRule="auto"/>
        <w:divId w:val="1211649439"/>
        <w:rPr>
          <w:rFonts w:ascii="Arial" w:eastAsia="Times New Roman" w:hAnsi="Arial" w:cs="Arial"/>
          <w:sz w:val="20"/>
          <w:szCs w:val="20"/>
          <w:lang w:val="en"/>
        </w:rPr>
      </w:pPr>
    </w:p>
    <w:p w14:paraId="796BCD7A" w14:textId="77777777" w:rsidR="00CA3343" w:rsidRPr="0077122A" w:rsidRDefault="00FB191C" w:rsidP="00427E36">
      <w:pPr>
        <w:pageBreakBefore/>
        <w:pBdr>
          <w:bottom w:val="single" w:sz="4" w:space="1" w:color="auto"/>
        </w:pBdr>
        <w:spacing w:after="0" w:line="276" w:lineRule="auto"/>
        <w:rPr>
          <w:rFonts w:ascii="Arial" w:eastAsia="Times New Roman" w:hAnsi="Arial" w:cs="Arial"/>
          <w:b/>
          <w:bCs/>
          <w:sz w:val="20"/>
          <w:szCs w:val="20"/>
          <w:lang w:val="en"/>
        </w:rPr>
      </w:pPr>
      <w:r w:rsidRPr="0077122A">
        <w:rPr>
          <w:rFonts w:ascii="Arial" w:eastAsia="Times New Roman" w:hAnsi="Arial" w:cs="Arial"/>
          <w:b/>
          <w:bCs/>
          <w:sz w:val="20"/>
          <w:szCs w:val="20"/>
          <w:lang w:val="en"/>
        </w:rPr>
        <w:lastRenderedPageBreak/>
        <w:t>Explanatory Notes</w:t>
      </w:r>
    </w:p>
    <w:p w14:paraId="1AB418E5" w14:textId="77777777" w:rsidR="0077122A" w:rsidRDefault="0077122A" w:rsidP="00E87710">
      <w:pPr>
        <w:spacing w:after="0" w:line="276" w:lineRule="auto"/>
        <w:jc w:val="both"/>
        <w:rPr>
          <w:rFonts w:ascii="Arial" w:eastAsia="Times New Roman" w:hAnsi="Arial" w:cs="Arial"/>
          <w:b/>
          <w:bCs/>
          <w:sz w:val="20"/>
          <w:szCs w:val="20"/>
          <w:lang w:val="en"/>
        </w:rPr>
      </w:pPr>
      <w:bookmarkStart w:id="0" w:name="N9532"/>
    </w:p>
    <w:p w14:paraId="6F890429" w14:textId="77777777" w:rsidR="0077122A" w:rsidRDefault="00FB191C" w:rsidP="00E87710">
      <w:pPr>
        <w:spacing w:after="0" w:line="276" w:lineRule="auto"/>
        <w:jc w:val="both"/>
        <w:rPr>
          <w:rFonts w:ascii="Arial" w:eastAsia="Times New Roman" w:hAnsi="Arial" w:cs="Arial"/>
          <w:b/>
          <w:bCs/>
          <w:sz w:val="20"/>
          <w:szCs w:val="20"/>
          <w:lang w:val="en"/>
        </w:rPr>
      </w:pPr>
      <w:r w:rsidRPr="0077122A">
        <w:rPr>
          <w:rFonts w:ascii="Arial" w:eastAsia="Times New Roman" w:hAnsi="Arial" w:cs="Arial"/>
          <w:b/>
          <w:bCs/>
          <w:sz w:val="20"/>
          <w:szCs w:val="20"/>
          <w:lang w:val="en"/>
        </w:rPr>
        <w:t>A. Scope of Guidelines</w:t>
      </w:r>
      <w:bookmarkEnd w:id="0"/>
    </w:p>
    <w:p w14:paraId="2F58CEF6"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The reporting of cutaneous squamous cell carcinoma of head and neck is facilitated by the provision of a case summary illustrating the features required for comprehensive patient care. However, there are many cases in which the individual practicalities of applying such a case summary may not be straightforward. Common examples include finding the prescribed number of lymph nodes, trying to determine the levels of the radical neck dissection, and determining if isolated tumor cells in a lymph node represent metastatic disease. Case summaries have evolved to include clinical, radiographic, morphologic, immunohistochemical, and molecular results in an effort to guide clinical management. Adjuvant and neoadjuvant therapy can significantly alter histologic findings, making accurate classification an increasingly complex and demanding task. This protocol tries to remain simple while still incorporating important pathologic features as proposed by the American Joint Committee on Cancer (AJCC) cancer staging manual, the World Health Organization (WHO) classification of tumors, the TNM classification</w:t>
      </w:r>
      <w:hyperlink w:anchor="R40583" w:tooltip="Gress DM, Edge SB, Greene FL, et al. Principles of cancer staging. In: Amin MB, ed. AJCC Cancer Staging Manual. 8th ed. New York, NY: Springer; 2017." w:history="1">
        <w:r w:rsidRPr="0077122A">
          <w:rPr>
            <w:rStyle w:val="Hyperlink"/>
            <w:rFonts w:ascii="Arial" w:hAnsi="Arial" w:cs="Arial"/>
            <w:sz w:val="20"/>
            <w:szCs w:val="20"/>
            <w:vertAlign w:val="superscript"/>
            <w:lang w:val="en"/>
          </w:rPr>
          <w:t>1</w:t>
        </w:r>
      </w:hyperlink>
      <w:r w:rsidRPr="0077122A">
        <w:rPr>
          <w:rFonts w:ascii="Arial" w:hAnsi="Arial" w:cs="Arial"/>
          <w:sz w:val="20"/>
          <w:szCs w:val="20"/>
          <w:lang w:val="en"/>
        </w:rPr>
        <w:t>, the American College of Surgeons Commission on Cancer, and the International Union on Cancer (UICC). This protocol is to be used as a guide and resource, an adjunct to diagnosing and managing cancers of the oral cavity in a standardized manner. It should not be used as a substitute for dissection or grossing techniques and does not give histologic parameters to reach the diagnosis. Subjectivity is always a factor, and elements listed are not meant to be arbitrary but are meant to provide uniformity of reporting across all the disciplines that use the information. It is a foundation of practical information that will help to meet the requirements of daily practice to benefit both clinicians and patients alike.</w:t>
      </w:r>
    </w:p>
    <w:p w14:paraId="4974BA93" w14:textId="77777777" w:rsidR="0077122A" w:rsidRDefault="0077122A" w:rsidP="00E87710">
      <w:pPr>
        <w:spacing w:after="0" w:line="276" w:lineRule="auto"/>
        <w:jc w:val="both"/>
        <w:rPr>
          <w:rFonts w:ascii="Arial" w:hAnsi="Arial" w:cs="Arial"/>
          <w:sz w:val="20"/>
          <w:szCs w:val="20"/>
          <w:lang w:val="en"/>
        </w:rPr>
      </w:pPr>
    </w:p>
    <w:p w14:paraId="37114CD4" w14:textId="77777777" w:rsidR="0077122A" w:rsidRDefault="00FB191C" w:rsidP="00E87710">
      <w:pPr>
        <w:spacing w:after="0" w:line="276" w:lineRule="auto"/>
        <w:jc w:val="both"/>
        <w:rPr>
          <w:rFonts w:ascii="Arial" w:eastAsia="Times New Roman" w:hAnsi="Arial" w:cs="Arial"/>
          <w:b/>
          <w:bCs/>
          <w:sz w:val="20"/>
          <w:szCs w:val="20"/>
          <w:lang w:val="en"/>
        </w:rPr>
      </w:pPr>
      <w:r w:rsidRPr="0077122A">
        <w:rPr>
          <w:rFonts w:ascii="Arial" w:eastAsia="Times New Roman" w:hAnsi="Arial" w:cs="Arial"/>
          <w:sz w:val="20"/>
          <w:szCs w:val="20"/>
          <w:lang w:val="en"/>
        </w:rPr>
        <w:t>References</w:t>
      </w:r>
      <w:bookmarkStart w:id="1" w:name="R40583"/>
    </w:p>
    <w:p w14:paraId="22256EF0" w14:textId="77777777" w:rsidR="0077122A" w:rsidRPr="0077122A" w:rsidRDefault="00FB191C" w:rsidP="00E87710">
      <w:pPr>
        <w:pStyle w:val="ListParagraph"/>
        <w:numPr>
          <w:ilvl w:val="0"/>
          <w:numId w:val="13"/>
        </w:numPr>
        <w:spacing w:after="0" w:line="276" w:lineRule="auto"/>
        <w:jc w:val="both"/>
        <w:rPr>
          <w:rFonts w:ascii="Arial" w:eastAsia="Times New Roman" w:hAnsi="Arial" w:cs="Arial"/>
          <w:b/>
          <w:bCs/>
          <w:sz w:val="20"/>
          <w:szCs w:val="20"/>
          <w:lang w:val="en"/>
        </w:rPr>
      </w:pPr>
      <w:r w:rsidRPr="0077122A">
        <w:rPr>
          <w:rFonts w:ascii="Arial" w:eastAsia="Times New Roman" w:hAnsi="Arial" w:cs="Arial"/>
          <w:sz w:val="20"/>
          <w:szCs w:val="20"/>
          <w:lang w:val="en"/>
        </w:rPr>
        <w:t>Gress DM, Edge SB, Greene FL, et al. Principles of cancer staging. In: Amin MB, ed. AJCC Cancer Staging Manual. 8th ed. New York, NY: Springer; 2017.</w:t>
      </w:r>
      <w:bookmarkStart w:id="2" w:name="N9533"/>
      <w:bookmarkEnd w:id="1"/>
    </w:p>
    <w:p w14:paraId="254A5177" w14:textId="77777777" w:rsidR="0077122A" w:rsidRDefault="0077122A" w:rsidP="00E87710">
      <w:pPr>
        <w:spacing w:after="0" w:line="276" w:lineRule="auto"/>
        <w:jc w:val="both"/>
        <w:rPr>
          <w:rFonts w:ascii="Arial" w:eastAsia="Times New Roman" w:hAnsi="Arial" w:cs="Arial"/>
          <w:b/>
          <w:bCs/>
          <w:sz w:val="20"/>
          <w:szCs w:val="20"/>
          <w:lang w:val="en"/>
        </w:rPr>
      </w:pPr>
    </w:p>
    <w:p w14:paraId="63B70AFD" w14:textId="77777777" w:rsidR="0077122A" w:rsidRDefault="00FB191C" w:rsidP="00E87710">
      <w:pPr>
        <w:spacing w:after="0" w:line="276" w:lineRule="auto"/>
        <w:jc w:val="both"/>
        <w:rPr>
          <w:rFonts w:ascii="Arial" w:eastAsia="Times New Roman" w:hAnsi="Arial" w:cs="Arial"/>
          <w:b/>
          <w:bCs/>
          <w:sz w:val="20"/>
          <w:szCs w:val="20"/>
          <w:lang w:val="en"/>
        </w:rPr>
      </w:pPr>
      <w:r w:rsidRPr="0077122A">
        <w:rPr>
          <w:rFonts w:ascii="Arial" w:eastAsia="Times New Roman" w:hAnsi="Arial" w:cs="Arial"/>
          <w:b/>
          <w:bCs/>
          <w:sz w:val="20"/>
          <w:szCs w:val="20"/>
          <w:lang w:val="en"/>
        </w:rPr>
        <w:t>B. Histologic Subtypes</w:t>
      </w:r>
      <w:bookmarkEnd w:id="2"/>
    </w:p>
    <w:p w14:paraId="6B623913"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The World Health Organization (WHO) classification</w:t>
      </w:r>
      <w:hyperlink w:anchor="R40584" w:tooltip="Elder DR, Massi D, Scolyer RA, Willemze R, editors. World Health Organization Classification of Skin Tumours. 4th ed. Lyon: IARC." w:history="1">
        <w:r w:rsidRPr="0077122A">
          <w:rPr>
            <w:rStyle w:val="Hyperlink"/>
            <w:rFonts w:ascii="Arial" w:hAnsi="Arial" w:cs="Arial"/>
            <w:sz w:val="20"/>
            <w:szCs w:val="20"/>
            <w:vertAlign w:val="superscript"/>
            <w:lang w:val="en"/>
          </w:rPr>
          <w:t>1</w:t>
        </w:r>
      </w:hyperlink>
      <w:r w:rsidRPr="0077122A">
        <w:rPr>
          <w:rFonts w:ascii="Arial" w:hAnsi="Arial" w:cs="Arial"/>
          <w:sz w:val="20"/>
          <w:szCs w:val="20"/>
          <w:lang w:val="en"/>
        </w:rPr>
        <w:t> of squamous cell carcinomas of the skin is shown below:</w:t>
      </w:r>
    </w:p>
    <w:p w14:paraId="25285463" w14:textId="77777777" w:rsidR="0077122A" w:rsidRDefault="0077122A" w:rsidP="00E87710">
      <w:pPr>
        <w:spacing w:after="0" w:line="276" w:lineRule="auto"/>
        <w:jc w:val="both"/>
        <w:rPr>
          <w:rFonts w:ascii="Arial" w:hAnsi="Arial" w:cs="Arial"/>
          <w:sz w:val="20"/>
          <w:szCs w:val="20"/>
          <w:lang w:val="en"/>
        </w:rPr>
      </w:pPr>
    </w:p>
    <w:p w14:paraId="6CE34C28"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Squamous cell carcinoma, not otherwise specified</w:t>
      </w:r>
    </w:p>
    <w:p w14:paraId="032F5009"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Keratoacanthoma</w:t>
      </w:r>
    </w:p>
    <w:p w14:paraId="7856B43D"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Acantholytic squamous cell carcinoma</w:t>
      </w:r>
    </w:p>
    <w:p w14:paraId="2335F5F9"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Spindle cell squamous cell carcinoma</w:t>
      </w:r>
    </w:p>
    <w:p w14:paraId="37F0A6E5"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Verrucous squamous cell carcinoma</w:t>
      </w:r>
    </w:p>
    <w:p w14:paraId="1F49E738"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Adenosquamous carcinoma</w:t>
      </w:r>
    </w:p>
    <w:p w14:paraId="488BA5E8"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Clear cell squamous cell carcinoma</w:t>
      </w:r>
    </w:p>
    <w:p w14:paraId="3419C306" w14:textId="77777777" w:rsidR="0077122A" w:rsidRDefault="0077122A" w:rsidP="00E87710">
      <w:pPr>
        <w:spacing w:after="0" w:line="276" w:lineRule="auto"/>
        <w:jc w:val="both"/>
        <w:rPr>
          <w:rFonts w:ascii="Arial" w:hAnsi="Arial" w:cs="Arial"/>
          <w:sz w:val="20"/>
          <w:szCs w:val="20"/>
          <w:lang w:val="en"/>
        </w:rPr>
      </w:pPr>
    </w:p>
    <w:p w14:paraId="690EC632" w14:textId="77777777"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Other (uncommon) variants</w:t>
      </w:r>
    </w:p>
    <w:p w14:paraId="209C8B8F" w14:textId="77777777" w:rsidR="00E87710" w:rsidRDefault="00FB191C" w:rsidP="00E87710">
      <w:pPr>
        <w:spacing w:after="0" w:line="276" w:lineRule="auto"/>
        <w:ind w:firstLine="720"/>
        <w:jc w:val="both"/>
        <w:rPr>
          <w:rFonts w:ascii="Arial" w:hAnsi="Arial" w:cs="Arial"/>
          <w:sz w:val="20"/>
          <w:szCs w:val="20"/>
          <w:lang w:val="en"/>
        </w:rPr>
      </w:pPr>
      <w:r w:rsidRPr="0077122A">
        <w:rPr>
          <w:rFonts w:ascii="Arial" w:hAnsi="Arial" w:cs="Arial"/>
          <w:sz w:val="20"/>
          <w:szCs w:val="20"/>
          <w:lang w:val="en"/>
        </w:rPr>
        <w:t>Squamous cell carcinoma with sarcomatoid differentiation</w:t>
      </w:r>
    </w:p>
    <w:p w14:paraId="2DCFDA91" w14:textId="77777777" w:rsidR="00E87710" w:rsidRDefault="00FB191C" w:rsidP="00E87710">
      <w:pPr>
        <w:spacing w:after="0" w:line="276" w:lineRule="auto"/>
        <w:ind w:firstLine="720"/>
        <w:jc w:val="both"/>
        <w:rPr>
          <w:rFonts w:ascii="Arial" w:hAnsi="Arial" w:cs="Arial"/>
          <w:sz w:val="20"/>
          <w:szCs w:val="20"/>
          <w:lang w:val="en"/>
        </w:rPr>
      </w:pPr>
      <w:r w:rsidRPr="0077122A">
        <w:rPr>
          <w:rFonts w:ascii="Arial" w:hAnsi="Arial" w:cs="Arial"/>
          <w:sz w:val="20"/>
          <w:szCs w:val="20"/>
          <w:lang w:val="en"/>
        </w:rPr>
        <w:t>Squamous cell carcinoma with osteoclast-like giant cells</w:t>
      </w:r>
    </w:p>
    <w:p w14:paraId="06E4A6B0" w14:textId="77777777" w:rsidR="00E87710" w:rsidRDefault="00FB191C" w:rsidP="00E87710">
      <w:pPr>
        <w:spacing w:after="0" w:line="276" w:lineRule="auto"/>
        <w:ind w:firstLine="720"/>
        <w:jc w:val="both"/>
        <w:rPr>
          <w:rFonts w:ascii="Arial" w:hAnsi="Arial" w:cs="Arial"/>
          <w:sz w:val="20"/>
          <w:szCs w:val="20"/>
          <w:lang w:val="en"/>
        </w:rPr>
      </w:pPr>
      <w:r w:rsidRPr="0077122A">
        <w:rPr>
          <w:rFonts w:ascii="Arial" w:hAnsi="Arial" w:cs="Arial"/>
          <w:sz w:val="20"/>
          <w:szCs w:val="20"/>
          <w:lang w:val="en"/>
        </w:rPr>
        <w:t>Pseudovascular squamous cell carcinoma</w:t>
      </w:r>
    </w:p>
    <w:p w14:paraId="4C7E7284" w14:textId="7C6D445D" w:rsidR="0077122A" w:rsidRDefault="00FB191C" w:rsidP="00E87710">
      <w:pPr>
        <w:spacing w:after="0" w:line="276" w:lineRule="auto"/>
        <w:ind w:firstLine="720"/>
        <w:jc w:val="both"/>
        <w:rPr>
          <w:rFonts w:ascii="Arial" w:hAnsi="Arial" w:cs="Arial"/>
          <w:sz w:val="20"/>
          <w:szCs w:val="20"/>
          <w:lang w:val="en"/>
        </w:rPr>
      </w:pPr>
      <w:r w:rsidRPr="0077122A">
        <w:rPr>
          <w:rFonts w:ascii="Arial" w:hAnsi="Arial" w:cs="Arial"/>
          <w:sz w:val="20"/>
          <w:szCs w:val="20"/>
          <w:lang w:val="en"/>
        </w:rPr>
        <w:t>Lymphoepithelioma-like carcinoma</w:t>
      </w:r>
    </w:p>
    <w:p w14:paraId="45297EBF" w14:textId="77777777" w:rsidR="0077122A" w:rsidRDefault="0077122A" w:rsidP="00E87710">
      <w:pPr>
        <w:spacing w:after="0" w:line="276" w:lineRule="auto"/>
        <w:jc w:val="both"/>
        <w:rPr>
          <w:rFonts w:ascii="Arial" w:hAnsi="Arial" w:cs="Arial"/>
          <w:sz w:val="20"/>
          <w:szCs w:val="20"/>
          <w:lang w:val="en"/>
        </w:rPr>
      </w:pPr>
    </w:p>
    <w:p w14:paraId="778C4EBA" w14:textId="77777777" w:rsidR="0077122A" w:rsidRDefault="00FB191C" w:rsidP="00E87710">
      <w:pPr>
        <w:spacing w:after="0" w:line="276" w:lineRule="auto"/>
        <w:jc w:val="both"/>
        <w:rPr>
          <w:rFonts w:ascii="Arial" w:hAnsi="Arial" w:cs="Arial"/>
          <w:sz w:val="20"/>
          <w:szCs w:val="20"/>
          <w:lang w:val="en"/>
        </w:rPr>
      </w:pPr>
      <w:r w:rsidRPr="0077122A">
        <w:rPr>
          <w:rFonts w:ascii="Arial" w:eastAsia="Times New Roman" w:hAnsi="Arial" w:cs="Arial"/>
          <w:sz w:val="20"/>
          <w:szCs w:val="20"/>
          <w:lang w:val="en"/>
        </w:rPr>
        <w:t>References</w:t>
      </w:r>
      <w:bookmarkStart w:id="3" w:name="R40584"/>
    </w:p>
    <w:p w14:paraId="2DA3F2EA" w14:textId="0427331B" w:rsidR="0077122A" w:rsidRPr="004C1197" w:rsidRDefault="00FB191C" w:rsidP="00E87710">
      <w:pPr>
        <w:pStyle w:val="ListParagraph"/>
        <w:numPr>
          <w:ilvl w:val="0"/>
          <w:numId w:val="14"/>
        </w:numPr>
        <w:spacing w:after="0" w:line="276" w:lineRule="auto"/>
        <w:jc w:val="both"/>
        <w:rPr>
          <w:rFonts w:ascii="Arial" w:hAnsi="Arial" w:cs="Arial"/>
          <w:sz w:val="20"/>
          <w:szCs w:val="20"/>
          <w:lang w:val="en"/>
        </w:rPr>
      </w:pPr>
      <w:r w:rsidRPr="0077122A">
        <w:rPr>
          <w:rFonts w:ascii="Arial" w:eastAsia="Times New Roman" w:hAnsi="Arial" w:cs="Arial"/>
          <w:sz w:val="20"/>
          <w:szCs w:val="20"/>
          <w:lang w:val="en"/>
        </w:rPr>
        <w:t>Elder DR, Massi D, Scolyer RA, Willemze R, editors. World Health Organization Classification of Skin Tumours. 4th ed. Lyon: IARC.</w:t>
      </w:r>
      <w:bookmarkStart w:id="4" w:name="N9534"/>
      <w:bookmarkEnd w:id="3"/>
    </w:p>
    <w:p w14:paraId="673A308C" w14:textId="77777777" w:rsidR="0077122A" w:rsidRDefault="00FB191C" w:rsidP="00E87710">
      <w:pPr>
        <w:spacing w:after="0" w:line="276" w:lineRule="auto"/>
        <w:jc w:val="both"/>
        <w:rPr>
          <w:rFonts w:ascii="Arial" w:eastAsia="Times New Roman" w:hAnsi="Arial" w:cs="Arial"/>
          <w:b/>
          <w:bCs/>
          <w:sz w:val="20"/>
          <w:szCs w:val="20"/>
          <w:lang w:val="en"/>
        </w:rPr>
      </w:pPr>
      <w:r w:rsidRPr="0077122A">
        <w:rPr>
          <w:rFonts w:ascii="Arial" w:eastAsia="Times New Roman" w:hAnsi="Arial" w:cs="Arial"/>
          <w:b/>
          <w:bCs/>
          <w:sz w:val="20"/>
          <w:szCs w:val="20"/>
          <w:lang w:val="en"/>
        </w:rPr>
        <w:lastRenderedPageBreak/>
        <w:t>C. Histologic Grade</w:t>
      </w:r>
      <w:bookmarkEnd w:id="4"/>
    </w:p>
    <w:p w14:paraId="6E7B5E31"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Grading of cutaneous squamous cell carcinoma is not standardized.  Classically, tumors graded qualitatively using 4 tiers as follows:</w:t>
      </w:r>
      <w:hyperlink w:anchor="R40585" w:tooltip="Tumors of the surface epithelium. In: McKee PH, Calonje E, Brenn T, Lazar AJ, Billings SD. McKee" w:history="1">
        <w:r w:rsidRPr="0077122A">
          <w:rPr>
            <w:rStyle w:val="Hyperlink"/>
            <w:rFonts w:ascii="Arial" w:hAnsi="Arial" w:cs="Arial"/>
            <w:sz w:val="20"/>
            <w:szCs w:val="20"/>
            <w:vertAlign w:val="superscript"/>
            <w:lang w:val="en"/>
          </w:rPr>
          <w:t>1</w:t>
        </w:r>
      </w:hyperlink>
    </w:p>
    <w:p w14:paraId="68E3DF37" w14:textId="77777777" w:rsidR="0077122A" w:rsidRDefault="0077122A" w:rsidP="00E87710">
      <w:pPr>
        <w:spacing w:after="0" w:line="276" w:lineRule="auto"/>
        <w:jc w:val="both"/>
        <w:rPr>
          <w:rFonts w:ascii="Arial" w:hAnsi="Arial" w:cs="Arial"/>
          <w:sz w:val="20"/>
          <w:szCs w:val="20"/>
          <w:lang w:val="en"/>
        </w:rPr>
      </w:pPr>
    </w:p>
    <w:p w14:paraId="6E4A4740"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 xml:space="preserve">Grade 1: </w:t>
      </w:r>
      <w:r w:rsidRPr="0077122A">
        <w:rPr>
          <w:rStyle w:val="Emphasis"/>
          <w:rFonts w:ascii="Arial" w:hAnsi="Arial" w:cs="Arial"/>
          <w:sz w:val="20"/>
          <w:szCs w:val="20"/>
          <w:lang w:val="en"/>
        </w:rPr>
        <w:t>Well-differentiated</w:t>
      </w:r>
      <w:r w:rsidRPr="0077122A">
        <w:rPr>
          <w:rFonts w:ascii="Arial" w:hAnsi="Arial" w:cs="Arial"/>
          <w:sz w:val="20"/>
          <w:szCs w:val="20"/>
          <w:lang w:val="en"/>
        </w:rPr>
        <w:t xml:space="preserve"> tumors are characterized by squamous epithelium that frequently shows easily recognizable and often abundant keratinization.  Intercellular bridges are readily apparent.  There is minimal pleomorphism, and mitotic figures are mainly basally located.</w:t>
      </w:r>
    </w:p>
    <w:p w14:paraId="2F91A67B" w14:textId="77777777" w:rsidR="0077122A" w:rsidRDefault="0077122A" w:rsidP="00E87710">
      <w:pPr>
        <w:spacing w:after="0" w:line="276" w:lineRule="auto"/>
        <w:jc w:val="both"/>
        <w:rPr>
          <w:rFonts w:ascii="Arial" w:hAnsi="Arial" w:cs="Arial"/>
          <w:sz w:val="20"/>
          <w:szCs w:val="20"/>
          <w:lang w:val="en"/>
        </w:rPr>
      </w:pPr>
    </w:p>
    <w:p w14:paraId="65F9DA05" w14:textId="3A09C6CD"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 xml:space="preserve">Grade 2: </w:t>
      </w:r>
      <w:r w:rsidRPr="0077122A">
        <w:rPr>
          <w:rStyle w:val="Emphasis"/>
          <w:rFonts w:ascii="Arial" w:hAnsi="Arial" w:cs="Arial"/>
          <w:sz w:val="20"/>
          <w:szCs w:val="20"/>
          <w:lang w:val="en"/>
        </w:rPr>
        <w:t>Moderately differentiate</w:t>
      </w:r>
      <w:r w:rsidRPr="0077122A">
        <w:rPr>
          <w:rFonts w:ascii="Arial" w:hAnsi="Arial" w:cs="Arial"/>
          <w:sz w:val="20"/>
          <w:szCs w:val="20"/>
          <w:lang w:val="en"/>
        </w:rPr>
        <w:t xml:space="preserve">d tumors show more structural disorganization in which squamous epithelial derivation is less obvious.  Nuclear and cytoplasmic pleomorphism are more pronounced, and mitotic figures may </w:t>
      </w:r>
      <w:r w:rsidR="00801F3F">
        <w:rPr>
          <w:rFonts w:ascii="Arial" w:hAnsi="Arial" w:cs="Arial"/>
          <w:sz w:val="20"/>
          <w:szCs w:val="20"/>
          <w:lang w:val="en"/>
        </w:rPr>
        <w:t xml:space="preserve">be </w:t>
      </w:r>
      <w:r w:rsidRPr="0077122A">
        <w:rPr>
          <w:rFonts w:ascii="Arial" w:hAnsi="Arial" w:cs="Arial"/>
          <w:sz w:val="20"/>
          <w:szCs w:val="20"/>
          <w:lang w:val="en"/>
        </w:rPr>
        <w:t>numerous.  Keratin formation is typically limited to keratin pearls, horn cysts, and scattered individually keratinized cells.</w:t>
      </w:r>
    </w:p>
    <w:p w14:paraId="24041A03" w14:textId="77777777" w:rsidR="0077122A" w:rsidRDefault="0077122A" w:rsidP="00E87710">
      <w:pPr>
        <w:spacing w:after="0" w:line="276" w:lineRule="auto"/>
        <w:jc w:val="both"/>
        <w:rPr>
          <w:rFonts w:ascii="Arial" w:hAnsi="Arial" w:cs="Arial"/>
          <w:sz w:val="20"/>
          <w:szCs w:val="20"/>
          <w:lang w:val="en"/>
        </w:rPr>
      </w:pPr>
    </w:p>
    <w:p w14:paraId="297128F7"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 xml:space="preserve">Grade 3:  In </w:t>
      </w:r>
      <w:r w:rsidRPr="0077122A">
        <w:rPr>
          <w:rStyle w:val="Emphasis"/>
          <w:rFonts w:ascii="Arial" w:hAnsi="Arial" w:cs="Arial"/>
          <w:sz w:val="20"/>
          <w:szCs w:val="20"/>
          <w:lang w:val="en"/>
        </w:rPr>
        <w:t>poorly differentiated</w:t>
      </w:r>
      <w:r w:rsidRPr="0077122A">
        <w:rPr>
          <w:rFonts w:ascii="Arial" w:hAnsi="Arial" w:cs="Arial"/>
          <w:sz w:val="20"/>
          <w:szCs w:val="20"/>
          <w:lang w:val="en"/>
        </w:rPr>
        <w:t xml:space="preserve"> tumors it may be difficult to establish squamous differentiation, usually by identification of rare intercellular bridges or small foci of keratinization.</w:t>
      </w:r>
    </w:p>
    <w:p w14:paraId="4D96F8EB" w14:textId="77777777" w:rsidR="0077122A" w:rsidRDefault="0077122A" w:rsidP="00E87710">
      <w:pPr>
        <w:spacing w:after="0" w:line="276" w:lineRule="auto"/>
        <w:jc w:val="both"/>
        <w:rPr>
          <w:rFonts w:ascii="Arial" w:hAnsi="Arial" w:cs="Arial"/>
          <w:sz w:val="20"/>
          <w:szCs w:val="20"/>
          <w:lang w:val="en"/>
        </w:rPr>
      </w:pPr>
    </w:p>
    <w:p w14:paraId="3E1BF8EB"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 xml:space="preserve">Grade 4: Used to denote anaplastic or </w:t>
      </w:r>
      <w:r w:rsidRPr="0077122A">
        <w:rPr>
          <w:rStyle w:val="Emphasis"/>
          <w:rFonts w:ascii="Arial" w:hAnsi="Arial" w:cs="Arial"/>
          <w:sz w:val="20"/>
          <w:szCs w:val="20"/>
          <w:lang w:val="en"/>
        </w:rPr>
        <w:t>undifferentiated</w:t>
      </w:r>
      <w:r w:rsidRPr="0077122A">
        <w:rPr>
          <w:rFonts w:ascii="Arial" w:hAnsi="Arial" w:cs="Arial"/>
          <w:sz w:val="20"/>
          <w:szCs w:val="20"/>
          <w:lang w:val="en"/>
        </w:rPr>
        <w:t xml:space="preserve"> tumors.</w:t>
      </w:r>
    </w:p>
    <w:p w14:paraId="10134ECF" w14:textId="77777777" w:rsidR="0077122A" w:rsidRDefault="0077122A" w:rsidP="00E87710">
      <w:pPr>
        <w:spacing w:after="0" w:line="276" w:lineRule="auto"/>
        <w:jc w:val="both"/>
        <w:rPr>
          <w:rFonts w:ascii="Arial" w:hAnsi="Arial" w:cs="Arial"/>
          <w:sz w:val="20"/>
          <w:szCs w:val="20"/>
          <w:lang w:val="en"/>
        </w:rPr>
      </w:pPr>
    </w:p>
    <w:p w14:paraId="3ED5B85F"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Broders classification of histologic grading</w:t>
      </w:r>
      <w:hyperlink w:anchor="R40586" w:tooltip="Broders  AC.  Squamous cell epithelioma of the lip. J  Am  Med Assoc 1920; 74: 656-64." w:history="1">
        <w:r w:rsidRPr="0077122A">
          <w:rPr>
            <w:rStyle w:val="Hyperlink"/>
            <w:rFonts w:ascii="Arial" w:hAnsi="Arial" w:cs="Arial"/>
            <w:sz w:val="20"/>
            <w:szCs w:val="20"/>
            <w:vertAlign w:val="superscript"/>
            <w:lang w:val="en"/>
          </w:rPr>
          <w:t>2</w:t>
        </w:r>
      </w:hyperlink>
      <w:r w:rsidRPr="0077122A">
        <w:rPr>
          <w:rFonts w:ascii="Arial" w:hAnsi="Arial" w:cs="Arial"/>
          <w:sz w:val="20"/>
          <w:szCs w:val="20"/>
          <w:lang w:val="en"/>
        </w:rPr>
        <w:t> is a popular alternative single parameter quantitative grading system often utilized as well and is summarized as follows: </w:t>
      </w:r>
    </w:p>
    <w:p w14:paraId="5FCF44E2" w14:textId="77777777" w:rsidR="0077122A" w:rsidRDefault="0077122A" w:rsidP="00E87710">
      <w:pPr>
        <w:spacing w:after="0" w:line="276" w:lineRule="auto"/>
        <w:jc w:val="both"/>
        <w:rPr>
          <w:rFonts w:ascii="Arial" w:hAnsi="Arial" w:cs="Arial"/>
          <w:sz w:val="20"/>
          <w:szCs w:val="20"/>
          <w:lang w:val="en"/>
        </w:rPr>
      </w:pPr>
    </w:p>
    <w:p w14:paraId="2427BEB3"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Grade 1</w:t>
      </w:r>
      <w:r w:rsidRPr="0077122A">
        <w:rPr>
          <w:rFonts w:ascii="Arial" w:hAnsi="Arial" w:cs="Arial"/>
          <w:sz w:val="20"/>
          <w:szCs w:val="20"/>
          <w:lang w:val="en"/>
        </w:rPr>
        <w:tab/>
        <w:t>Less than 25% is undifferentiated</w:t>
      </w:r>
    </w:p>
    <w:p w14:paraId="2978CD19"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Grade 2</w:t>
      </w:r>
      <w:r w:rsidRPr="0077122A">
        <w:rPr>
          <w:rFonts w:ascii="Arial" w:hAnsi="Arial" w:cs="Arial"/>
          <w:sz w:val="20"/>
          <w:szCs w:val="20"/>
          <w:lang w:val="en"/>
        </w:rPr>
        <w:tab/>
        <w:t>Greater than or equal to 25% but less than 50% is undifferentiated </w:t>
      </w:r>
    </w:p>
    <w:p w14:paraId="35A517BA"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Grade 3</w:t>
      </w:r>
      <w:r w:rsidRPr="0077122A">
        <w:rPr>
          <w:rFonts w:ascii="Arial" w:hAnsi="Arial" w:cs="Arial"/>
          <w:sz w:val="20"/>
          <w:szCs w:val="20"/>
          <w:lang w:val="en"/>
        </w:rPr>
        <w:tab/>
        <w:t>Greater than or equal to 50% but less than 75% is undifferentiated</w:t>
      </w:r>
    </w:p>
    <w:p w14:paraId="1A3C6B42"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Grade 4</w:t>
      </w:r>
      <w:r w:rsidRPr="0077122A">
        <w:rPr>
          <w:rFonts w:ascii="Arial" w:hAnsi="Arial" w:cs="Arial"/>
          <w:sz w:val="20"/>
          <w:szCs w:val="20"/>
          <w:lang w:val="en"/>
        </w:rPr>
        <w:tab/>
        <w:t>Greater than or equal to 75% is undifferentiated</w:t>
      </w:r>
    </w:p>
    <w:p w14:paraId="57097EDB" w14:textId="77777777" w:rsidR="0077122A" w:rsidRDefault="0077122A" w:rsidP="00E87710">
      <w:pPr>
        <w:spacing w:after="0" w:line="276" w:lineRule="auto"/>
        <w:jc w:val="both"/>
        <w:rPr>
          <w:rFonts w:ascii="Arial" w:hAnsi="Arial" w:cs="Arial"/>
          <w:sz w:val="20"/>
          <w:szCs w:val="20"/>
          <w:lang w:val="en"/>
        </w:rPr>
      </w:pPr>
    </w:p>
    <w:p w14:paraId="64D23479"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Grade has remained a key independent prognosticator in cutaneous squamous cell carcinoma</w:t>
      </w:r>
      <w:hyperlink w:anchor="R40589" w:tooltip="Prezzano JC, Scott GA, Lambert Smith F, Mannava KA, Ibrahim SF. Concordance of Squamous Cell Carcinoma Histologic Grading Among Dermatopathologists and Mohs Surgeons.  Dermatol Surg. 2021 Nov 1;47(11):1433-1437." w:history="1">
        <w:r w:rsidRPr="0077122A">
          <w:rPr>
            <w:rStyle w:val="Hyperlink"/>
            <w:rFonts w:ascii="Arial" w:hAnsi="Arial" w:cs="Arial"/>
            <w:sz w:val="20"/>
            <w:szCs w:val="20"/>
            <w:vertAlign w:val="superscript"/>
            <w:lang w:val="en"/>
          </w:rPr>
          <w:t>3,</w:t>
        </w:r>
      </w:hyperlink>
      <w:hyperlink w:anchor="R40587" w:tooltip="Kyrgidis A, Tzellos TG, Kechagias N, Patrikidou A, Xirou P, Kitikidou K, Bourlidou E, Vahtsevanos K, Antoniades K.  Cutaneous squamous cell carcinoma (SCC) of the head and neck: risk factors of overall and recurrence-free survival. Eur J Cancer. 2010 Jun;46(9)" w:history="1">
        <w:r w:rsidRPr="0077122A">
          <w:rPr>
            <w:rStyle w:val="Hyperlink"/>
            <w:rFonts w:ascii="Arial" w:hAnsi="Arial" w:cs="Arial"/>
            <w:sz w:val="20"/>
            <w:szCs w:val="20"/>
            <w:vertAlign w:val="superscript"/>
            <w:lang w:val="en"/>
          </w:rPr>
          <w:t>4</w:t>
        </w:r>
      </w:hyperlink>
      <w:r w:rsidRPr="0077122A">
        <w:rPr>
          <w:rFonts w:ascii="Arial" w:hAnsi="Arial" w:cs="Arial"/>
          <w:sz w:val="20"/>
          <w:szCs w:val="20"/>
          <w:lang w:val="en"/>
        </w:rPr>
        <w:t> despite limited data showing weak to moderate interobserver concordance.</w:t>
      </w:r>
      <w:hyperlink w:anchor="R40588" w:tooltip="Lohmann CM, Solomon AR.  Clinicopathologic variants of cutaneous squamous cell carcinoma.  Adv Anat Pathol. 2001;8(1):27-36." w:history="1">
        <w:r w:rsidRPr="0077122A">
          <w:rPr>
            <w:rStyle w:val="Hyperlink"/>
            <w:rFonts w:ascii="Arial" w:hAnsi="Arial" w:cs="Arial"/>
            <w:sz w:val="20"/>
            <w:szCs w:val="20"/>
            <w:vertAlign w:val="superscript"/>
            <w:lang w:val="en"/>
          </w:rPr>
          <w:t>5</w:t>
        </w:r>
      </w:hyperlink>
    </w:p>
    <w:p w14:paraId="3468236B" w14:textId="77777777" w:rsidR="0077122A" w:rsidRDefault="0077122A" w:rsidP="00E87710">
      <w:pPr>
        <w:spacing w:after="0" w:line="276" w:lineRule="auto"/>
        <w:jc w:val="both"/>
        <w:rPr>
          <w:rFonts w:ascii="Arial" w:hAnsi="Arial" w:cs="Arial"/>
          <w:sz w:val="20"/>
          <w:szCs w:val="20"/>
          <w:lang w:val="en"/>
        </w:rPr>
      </w:pPr>
    </w:p>
    <w:p w14:paraId="2BC6C06F"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From a management perspective, grade is typically reduced to two tiers with poorly differentiated tumors (Grades 3 and 4) constituting the high risk category</w:t>
      </w:r>
      <w:hyperlink w:anchor="R40589" w:tooltip="Prezzano JC, Scott GA, Lambert Smith F, Mannava KA, Ibrahim SF. Concordance of Squamous Cell Carcinoma Histologic Grading Among Dermatopathologists and Mohs Surgeons.  Dermatol Surg. 2021 Nov 1;47(11):1433-1437." w:history="1">
        <w:r w:rsidRPr="0077122A">
          <w:rPr>
            <w:rStyle w:val="Hyperlink"/>
            <w:rFonts w:ascii="Arial" w:hAnsi="Arial" w:cs="Arial"/>
            <w:sz w:val="20"/>
            <w:szCs w:val="20"/>
            <w:vertAlign w:val="superscript"/>
            <w:lang w:val="en"/>
          </w:rPr>
          <w:t>3</w:t>
        </w:r>
      </w:hyperlink>
      <w:r w:rsidRPr="0077122A">
        <w:rPr>
          <w:rFonts w:ascii="Arial" w:hAnsi="Arial" w:cs="Arial"/>
          <w:sz w:val="20"/>
          <w:szCs w:val="20"/>
          <w:lang w:val="en"/>
        </w:rPr>
        <w:t>. However, limited evidence suggests that even moderately differentiated tumors (Grade 2) may show a higher risk for subclinical spread requiring more layers of clearance by Mohs micrographic surgery.</w:t>
      </w:r>
      <w:hyperlink w:anchor="R40590" w:tooltip="Eversman A, Tracey EH, Michalik D, Rodriguez M, Varra V, Briskin IN, Vidimos AT, Poblete-Lopez CM. Moderate differentiation is a risk factor for extensive subclinical spread of cutaneous squamous cell carcinoma. J Am Acad Dermatol. 2021 Dec;85(6):1606-1608" w:history="1">
        <w:r w:rsidRPr="0077122A">
          <w:rPr>
            <w:rStyle w:val="Hyperlink"/>
            <w:rFonts w:ascii="Arial" w:hAnsi="Arial" w:cs="Arial"/>
            <w:sz w:val="20"/>
            <w:szCs w:val="20"/>
            <w:vertAlign w:val="superscript"/>
            <w:lang w:val="en"/>
          </w:rPr>
          <w:t>6</w:t>
        </w:r>
      </w:hyperlink>
      <w:r w:rsidRPr="0077122A">
        <w:rPr>
          <w:rFonts w:ascii="Arial" w:hAnsi="Arial" w:cs="Arial"/>
          <w:sz w:val="20"/>
          <w:szCs w:val="20"/>
          <w:lang w:val="en"/>
        </w:rPr>
        <w:t> Of note, it is this grade of tumors that appears to show the highest interobserver variability.</w:t>
      </w:r>
      <w:hyperlink w:anchor="R40588" w:tooltip="Lohmann CM, Solomon AR.  Clinicopathologic variants of cutaneous squamous cell carcinoma.  Adv Anat Pathol. 2001;8(1):27-36." w:history="1">
        <w:r w:rsidRPr="0077122A">
          <w:rPr>
            <w:rStyle w:val="Hyperlink"/>
            <w:rFonts w:ascii="Arial" w:hAnsi="Arial" w:cs="Arial"/>
            <w:sz w:val="20"/>
            <w:szCs w:val="20"/>
            <w:vertAlign w:val="superscript"/>
            <w:lang w:val="en"/>
          </w:rPr>
          <w:t>5</w:t>
        </w:r>
      </w:hyperlink>
    </w:p>
    <w:p w14:paraId="2CD90D24" w14:textId="77777777" w:rsidR="0077122A" w:rsidRDefault="0077122A" w:rsidP="00E87710">
      <w:pPr>
        <w:spacing w:after="0" w:line="276" w:lineRule="auto"/>
        <w:jc w:val="both"/>
        <w:rPr>
          <w:rFonts w:ascii="Arial" w:hAnsi="Arial" w:cs="Arial"/>
          <w:sz w:val="20"/>
          <w:szCs w:val="20"/>
          <w:lang w:val="en"/>
        </w:rPr>
      </w:pPr>
    </w:p>
    <w:p w14:paraId="2C2CB945"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The application of grading to variant morphologies in cutaneous squamous cell carcinoma is not well studied, though some variants (i.e. keratoacanthoma, verrucous squamous cell carcinoma) have a well-established intrinsic biologic behavior.</w:t>
      </w:r>
      <w:hyperlink w:anchor="R40587" w:tooltip="Kyrgidis A, Tzellos TG, Kechagias N, Patrikidou A, Xirou P, Kitikidou K, Bourlidou E, Vahtsevanos K, Antoniades K.  Cutaneous squamous cell carcinoma (SCC) of the head and neck: risk factors of overall and recurrence-free survival. Eur J Cancer. 2010 Jun;46(9)" w:history="1">
        <w:r w:rsidRPr="0077122A">
          <w:rPr>
            <w:rStyle w:val="Hyperlink"/>
            <w:rFonts w:ascii="Arial" w:hAnsi="Arial" w:cs="Arial"/>
            <w:sz w:val="20"/>
            <w:szCs w:val="20"/>
            <w:vertAlign w:val="superscript"/>
            <w:lang w:val="en"/>
          </w:rPr>
          <w:t>4</w:t>
        </w:r>
      </w:hyperlink>
      <w:r w:rsidRPr="0077122A">
        <w:rPr>
          <w:rFonts w:ascii="Arial" w:hAnsi="Arial" w:cs="Arial"/>
          <w:sz w:val="20"/>
          <w:szCs w:val="20"/>
          <w:lang w:val="en"/>
        </w:rPr>
        <w:t>   It is thus reasonable to use the “not applicable” category when a variant morphology comprises the bulk of the tumor.</w:t>
      </w:r>
    </w:p>
    <w:p w14:paraId="1ED5C24D" w14:textId="77777777" w:rsidR="0077122A" w:rsidRDefault="0077122A" w:rsidP="00E87710">
      <w:pPr>
        <w:spacing w:after="0" w:line="276" w:lineRule="auto"/>
        <w:jc w:val="both"/>
        <w:rPr>
          <w:rFonts w:ascii="Arial" w:hAnsi="Arial" w:cs="Arial"/>
          <w:sz w:val="20"/>
          <w:szCs w:val="20"/>
          <w:lang w:val="en"/>
        </w:rPr>
      </w:pPr>
    </w:p>
    <w:p w14:paraId="614AEC0D" w14:textId="77777777" w:rsidR="0077122A" w:rsidRDefault="00FB191C" w:rsidP="00E87710">
      <w:pPr>
        <w:spacing w:after="0" w:line="276" w:lineRule="auto"/>
        <w:jc w:val="both"/>
        <w:rPr>
          <w:rFonts w:ascii="Arial" w:hAnsi="Arial" w:cs="Arial"/>
          <w:sz w:val="20"/>
          <w:szCs w:val="20"/>
          <w:lang w:val="en"/>
        </w:rPr>
      </w:pPr>
      <w:r w:rsidRPr="0077122A">
        <w:rPr>
          <w:rFonts w:ascii="Arial" w:eastAsia="Times New Roman" w:hAnsi="Arial" w:cs="Arial"/>
          <w:sz w:val="20"/>
          <w:szCs w:val="20"/>
          <w:lang w:val="en"/>
        </w:rPr>
        <w:t>References</w:t>
      </w:r>
      <w:bookmarkStart w:id="5" w:name="R40585"/>
    </w:p>
    <w:p w14:paraId="06070902" w14:textId="77777777" w:rsidR="0077122A" w:rsidRPr="0077122A" w:rsidRDefault="00FB191C" w:rsidP="00E87710">
      <w:pPr>
        <w:pStyle w:val="ListParagraph"/>
        <w:numPr>
          <w:ilvl w:val="0"/>
          <w:numId w:val="15"/>
        </w:numPr>
        <w:spacing w:after="0" w:line="276" w:lineRule="auto"/>
        <w:jc w:val="both"/>
        <w:rPr>
          <w:rFonts w:ascii="Arial" w:hAnsi="Arial" w:cs="Arial"/>
          <w:sz w:val="20"/>
          <w:szCs w:val="20"/>
          <w:lang w:val="en"/>
        </w:rPr>
      </w:pPr>
      <w:r w:rsidRPr="0077122A">
        <w:rPr>
          <w:rFonts w:ascii="Arial" w:eastAsia="Times New Roman" w:hAnsi="Arial" w:cs="Arial"/>
          <w:sz w:val="20"/>
          <w:szCs w:val="20"/>
          <w:lang w:val="en"/>
        </w:rPr>
        <w:t>Tumors of the surface epithelium. In: McKee PH, Calonje E, Brenn T, Lazar AJ, Billings SD. McKee's Pathology of the Skin with Clinical Correlations. 5th ed. Philadelphia, PA: Elsevier Mosby; 2020.</w:t>
      </w:r>
      <w:bookmarkStart w:id="6" w:name="R40586"/>
      <w:bookmarkEnd w:id="5"/>
    </w:p>
    <w:p w14:paraId="7E32EADD" w14:textId="77777777" w:rsidR="0077122A" w:rsidRPr="0077122A" w:rsidRDefault="00FB191C" w:rsidP="00E87710">
      <w:pPr>
        <w:pStyle w:val="ListParagraph"/>
        <w:numPr>
          <w:ilvl w:val="0"/>
          <w:numId w:val="15"/>
        </w:numPr>
        <w:spacing w:after="0" w:line="276" w:lineRule="auto"/>
        <w:jc w:val="both"/>
        <w:rPr>
          <w:rFonts w:ascii="Arial" w:hAnsi="Arial" w:cs="Arial"/>
          <w:sz w:val="20"/>
          <w:szCs w:val="20"/>
          <w:lang w:val="en"/>
        </w:rPr>
      </w:pPr>
      <w:r w:rsidRPr="0077122A">
        <w:rPr>
          <w:rFonts w:ascii="Arial" w:eastAsia="Times New Roman" w:hAnsi="Arial" w:cs="Arial"/>
          <w:sz w:val="20"/>
          <w:szCs w:val="20"/>
          <w:lang w:val="en"/>
        </w:rPr>
        <w:t xml:space="preserve">Broders  AC.  Squamous cell epithelioma of the lip. </w:t>
      </w:r>
      <w:r w:rsidRPr="0077122A">
        <w:rPr>
          <w:rStyle w:val="Emphasis"/>
          <w:rFonts w:ascii="Arial" w:eastAsia="Times New Roman" w:hAnsi="Arial" w:cs="Arial"/>
          <w:sz w:val="20"/>
          <w:szCs w:val="20"/>
          <w:lang w:val="en"/>
        </w:rPr>
        <w:t>J  Am  Med Assoc 1920</w:t>
      </w:r>
      <w:r w:rsidRPr="0077122A">
        <w:rPr>
          <w:rFonts w:ascii="Arial" w:eastAsia="Times New Roman" w:hAnsi="Arial" w:cs="Arial"/>
          <w:sz w:val="20"/>
          <w:szCs w:val="20"/>
          <w:lang w:val="en"/>
        </w:rPr>
        <w:t>; 74: 656-64.</w:t>
      </w:r>
      <w:bookmarkStart w:id="7" w:name="R40589"/>
      <w:bookmarkEnd w:id="6"/>
    </w:p>
    <w:p w14:paraId="424877DB" w14:textId="77777777" w:rsidR="0077122A" w:rsidRPr="0077122A" w:rsidRDefault="00FB191C" w:rsidP="00E87710">
      <w:pPr>
        <w:pStyle w:val="ListParagraph"/>
        <w:numPr>
          <w:ilvl w:val="0"/>
          <w:numId w:val="15"/>
        </w:numPr>
        <w:spacing w:after="0" w:line="276" w:lineRule="auto"/>
        <w:jc w:val="both"/>
        <w:rPr>
          <w:rFonts w:ascii="Arial" w:hAnsi="Arial" w:cs="Arial"/>
          <w:sz w:val="20"/>
          <w:szCs w:val="20"/>
          <w:lang w:val="en"/>
        </w:rPr>
      </w:pPr>
      <w:r w:rsidRPr="0077122A">
        <w:rPr>
          <w:rFonts w:ascii="Arial" w:eastAsia="Times New Roman" w:hAnsi="Arial" w:cs="Arial"/>
          <w:sz w:val="20"/>
          <w:szCs w:val="20"/>
          <w:lang w:val="en"/>
        </w:rPr>
        <w:lastRenderedPageBreak/>
        <w:t xml:space="preserve">Prezzano JC, Scott GA, Lambert Smith F, Mannava KA, Ibrahim SF. Concordance of Squamous Cell Carcinoma Histologic Grading Among Dermatopathologists and Mohs Surgeons.  </w:t>
      </w:r>
      <w:r w:rsidRPr="0077122A">
        <w:rPr>
          <w:rStyle w:val="Emphasis"/>
          <w:rFonts w:ascii="Arial" w:eastAsia="Times New Roman" w:hAnsi="Arial" w:cs="Arial"/>
          <w:sz w:val="20"/>
          <w:szCs w:val="20"/>
          <w:lang w:val="en"/>
        </w:rPr>
        <w:t>Dermatol Surg</w:t>
      </w:r>
      <w:r w:rsidRPr="0077122A">
        <w:rPr>
          <w:rFonts w:ascii="Arial" w:eastAsia="Times New Roman" w:hAnsi="Arial" w:cs="Arial"/>
          <w:sz w:val="20"/>
          <w:szCs w:val="20"/>
          <w:lang w:val="en"/>
        </w:rPr>
        <w:t>. 2021 Nov 1;47(11):1433-1437.</w:t>
      </w:r>
      <w:bookmarkStart w:id="8" w:name="R40587"/>
      <w:bookmarkEnd w:id="7"/>
    </w:p>
    <w:p w14:paraId="323CBDE6" w14:textId="77777777" w:rsidR="0077122A" w:rsidRPr="0077122A" w:rsidRDefault="00FB191C" w:rsidP="00E87710">
      <w:pPr>
        <w:pStyle w:val="ListParagraph"/>
        <w:numPr>
          <w:ilvl w:val="0"/>
          <w:numId w:val="15"/>
        </w:numPr>
        <w:spacing w:after="0" w:line="276" w:lineRule="auto"/>
        <w:jc w:val="both"/>
        <w:rPr>
          <w:rFonts w:ascii="Arial" w:hAnsi="Arial" w:cs="Arial"/>
          <w:sz w:val="20"/>
          <w:szCs w:val="20"/>
          <w:lang w:val="en"/>
        </w:rPr>
      </w:pPr>
      <w:r w:rsidRPr="0077122A">
        <w:rPr>
          <w:rFonts w:ascii="Arial" w:eastAsia="Times New Roman" w:hAnsi="Arial" w:cs="Arial"/>
          <w:sz w:val="20"/>
          <w:szCs w:val="20"/>
          <w:lang w:val="en"/>
        </w:rPr>
        <w:t xml:space="preserve">Kyrgidis A, Tzellos TG, Kechagias N, Patrikidou A, Xirou P, Kitikidou K, Bourlidou E, Vahtsevanos K, Antoniades K.  Cutaneous squamous cell carcinoma (SCC) of the head and neck: risk factors of overall and recurrence-free survival. </w:t>
      </w:r>
      <w:r w:rsidRPr="0077122A">
        <w:rPr>
          <w:rStyle w:val="Emphasis"/>
          <w:rFonts w:ascii="Arial" w:eastAsia="Times New Roman" w:hAnsi="Arial" w:cs="Arial"/>
          <w:sz w:val="20"/>
          <w:szCs w:val="20"/>
          <w:lang w:val="en"/>
        </w:rPr>
        <w:t>Eur J Cancer</w:t>
      </w:r>
      <w:r w:rsidRPr="0077122A">
        <w:rPr>
          <w:rFonts w:ascii="Arial" w:eastAsia="Times New Roman" w:hAnsi="Arial" w:cs="Arial"/>
          <w:sz w:val="20"/>
          <w:szCs w:val="20"/>
          <w:lang w:val="en"/>
        </w:rPr>
        <w:t>. 2010 Jun;46(9):1563-72.</w:t>
      </w:r>
      <w:bookmarkStart w:id="9" w:name="R40588"/>
      <w:bookmarkEnd w:id="8"/>
    </w:p>
    <w:p w14:paraId="061C0D07" w14:textId="77777777" w:rsidR="0077122A" w:rsidRPr="0077122A" w:rsidRDefault="00FB191C" w:rsidP="00E87710">
      <w:pPr>
        <w:pStyle w:val="ListParagraph"/>
        <w:numPr>
          <w:ilvl w:val="0"/>
          <w:numId w:val="15"/>
        </w:numPr>
        <w:spacing w:after="0" w:line="276" w:lineRule="auto"/>
        <w:jc w:val="both"/>
        <w:rPr>
          <w:rFonts w:ascii="Arial" w:hAnsi="Arial" w:cs="Arial"/>
          <w:sz w:val="20"/>
          <w:szCs w:val="20"/>
          <w:lang w:val="en"/>
        </w:rPr>
      </w:pPr>
      <w:r w:rsidRPr="0077122A">
        <w:rPr>
          <w:rFonts w:ascii="Arial" w:eastAsia="Times New Roman" w:hAnsi="Arial" w:cs="Arial"/>
          <w:sz w:val="20"/>
          <w:szCs w:val="20"/>
          <w:lang w:val="en"/>
        </w:rPr>
        <w:t xml:space="preserve">Lohmann CM, Solomon AR.  Clinicopathologic variants of cutaneous squamous cell carcinoma.  </w:t>
      </w:r>
      <w:r w:rsidRPr="0077122A">
        <w:rPr>
          <w:rStyle w:val="Emphasis"/>
          <w:rFonts w:ascii="Arial" w:eastAsia="Times New Roman" w:hAnsi="Arial" w:cs="Arial"/>
          <w:sz w:val="20"/>
          <w:szCs w:val="20"/>
          <w:lang w:val="en"/>
        </w:rPr>
        <w:t>Adv Anat Pathol</w:t>
      </w:r>
      <w:r w:rsidRPr="0077122A">
        <w:rPr>
          <w:rFonts w:ascii="Arial" w:eastAsia="Times New Roman" w:hAnsi="Arial" w:cs="Arial"/>
          <w:sz w:val="20"/>
          <w:szCs w:val="20"/>
          <w:lang w:val="en"/>
        </w:rPr>
        <w:t>. 2001;8(1):27-36.</w:t>
      </w:r>
      <w:bookmarkStart w:id="10" w:name="R40590"/>
      <w:bookmarkEnd w:id="9"/>
    </w:p>
    <w:p w14:paraId="3514C9BA" w14:textId="77777777" w:rsidR="0077122A" w:rsidRPr="0077122A" w:rsidRDefault="00FB191C" w:rsidP="00E87710">
      <w:pPr>
        <w:pStyle w:val="ListParagraph"/>
        <w:numPr>
          <w:ilvl w:val="0"/>
          <w:numId w:val="15"/>
        </w:numPr>
        <w:spacing w:after="0" w:line="276" w:lineRule="auto"/>
        <w:jc w:val="both"/>
        <w:rPr>
          <w:rFonts w:ascii="Arial" w:hAnsi="Arial" w:cs="Arial"/>
          <w:sz w:val="20"/>
          <w:szCs w:val="20"/>
          <w:lang w:val="en"/>
        </w:rPr>
      </w:pPr>
      <w:r w:rsidRPr="0077122A">
        <w:rPr>
          <w:rFonts w:ascii="Arial" w:eastAsia="Times New Roman" w:hAnsi="Arial" w:cs="Arial"/>
          <w:sz w:val="20"/>
          <w:szCs w:val="20"/>
          <w:lang w:val="en"/>
        </w:rPr>
        <w:t xml:space="preserve">Eversman A, Tracey EH, Michalik D, Rodriguez M, Varra V, Briskin IN, Vidimos AT, Poblete-Lopez CM. Moderate differentiation is a risk factor for extensive subclinical spread of cutaneous squamous cell carcinoma. </w:t>
      </w:r>
      <w:r w:rsidRPr="0077122A">
        <w:rPr>
          <w:rStyle w:val="Emphasis"/>
          <w:rFonts w:ascii="Arial" w:eastAsia="Times New Roman" w:hAnsi="Arial" w:cs="Arial"/>
          <w:sz w:val="20"/>
          <w:szCs w:val="20"/>
          <w:lang w:val="en"/>
        </w:rPr>
        <w:t>J Am Acad Dermatol</w:t>
      </w:r>
      <w:r w:rsidRPr="0077122A">
        <w:rPr>
          <w:rFonts w:ascii="Arial" w:eastAsia="Times New Roman" w:hAnsi="Arial" w:cs="Arial"/>
          <w:sz w:val="20"/>
          <w:szCs w:val="20"/>
          <w:lang w:val="en"/>
        </w:rPr>
        <w:t>. 2021 Dec;85(6):1606-1608.</w:t>
      </w:r>
      <w:bookmarkStart w:id="11" w:name="N9535"/>
      <w:bookmarkEnd w:id="10"/>
    </w:p>
    <w:p w14:paraId="0BD313AC" w14:textId="77777777" w:rsidR="0077122A" w:rsidRDefault="0077122A" w:rsidP="00E87710">
      <w:pPr>
        <w:spacing w:after="0" w:line="276" w:lineRule="auto"/>
        <w:jc w:val="both"/>
        <w:rPr>
          <w:rFonts w:ascii="Arial" w:eastAsia="Times New Roman" w:hAnsi="Arial" w:cs="Arial"/>
          <w:b/>
          <w:bCs/>
          <w:sz w:val="20"/>
          <w:szCs w:val="20"/>
          <w:lang w:val="en"/>
        </w:rPr>
      </w:pPr>
    </w:p>
    <w:p w14:paraId="5DA9F26A" w14:textId="77777777" w:rsidR="0077122A" w:rsidRDefault="00FB191C" w:rsidP="00E87710">
      <w:pPr>
        <w:spacing w:after="0" w:line="276" w:lineRule="auto"/>
        <w:jc w:val="both"/>
        <w:rPr>
          <w:rFonts w:ascii="Arial" w:eastAsia="Times New Roman" w:hAnsi="Arial" w:cs="Arial"/>
          <w:b/>
          <w:bCs/>
          <w:sz w:val="20"/>
          <w:szCs w:val="20"/>
          <w:lang w:val="en"/>
        </w:rPr>
      </w:pPr>
      <w:r w:rsidRPr="0077122A">
        <w:rPr>
          <w:rFonts w:ascii="Arial" w:eastAsia="Times New Roman" w:hAnsi="Arial" w:cs="Arial"/>
          <w:b/>
          <w:bCs/>
          <w:sz w:val="20"/>
          <w:szCs w:val="20"/>
          <w:lang w:val="en"/>
        </w:rPr>
        <w:t>D. Tumor Thickness / Depth of Invasion</w:t>
      </w:r>
      <w:bookmarkEnd w:id="11"/>
    </w:p>
    <w:p w14:paraId="568178A9" w14:textId="7228E91D"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While tumor thickness (Breslow)/depth of invasion (DOI) are key risk factors for nodal disease on univariate and multivariate analysis.</w:t>
      </w:r>
      <w:hyperlink w:anchor="R40591" w:tooltip="Saito Y, Fujikawa H, Takatsuka S, Abe R, Takenouchi T.Risk factors for lymph node metastasis in cutaneous squamous cell carcinoma: a long-term retrospective study of Japanese patients. Int J Clin Oncol. 2021 Mar;26(3):606-612." w:history="1">
        <w:r w:rsidRPr="0077122A">
          <w:rPr>
            <w:rStyle w:val="Hyperlink"/>
            <w:rFonts w:ascii="Arial" w:hAnsi="Arial" w:cs="Arial"/>
            <w:sz w:val="20"/>
            <w:szCs w:val="20"/>
            <w:vertAlign w:val="superscript"/>
            <w:lang w:val="en"/>
          </w:rPr>
          <w:t>1,</w:t>
        </w:r>
      </w:hyperlink>
      <w:hyperlink w:anchor="R40592" w:tooltip="Schmitz L, Kanitakis J.  Histological classification of cutaneous squamous cell carcinomas with different severity. J Eur Acad Dermatol Venereol. 2019 Dec;33 Suppl 8:11-15." w:history="1">
        <w:r w:rsidRPr="0077122A">
          <w:rPr>
            <w:rStyle w:val="Hyperlink"/>
            <w:rFonts w:ascii="Arial" w:hAnsi="Arial" w:cs="Arial"/>
            <w:sz w:val="20"/>
            <w:szCs w:val="20"/>
            <w:vertAlign w:val="superscript"/>
            <w:lang w:val="en"/>
          </w:rPr>
          <w:t>2,</w:t>
        </w:r>
      </w:hyperlink>
      <w:hyperlink w:anchor="R40593" w:tooltip="Thompson AK, Kelley BF, Prokop LJ, Murad MH, Baum CL. Risk Factors for Cutaneous Squamous Cell Carcinoma Recurrence, Metastasis, and Disease-Specific Death: A Systematic Review and Meta-analysis. JAMA Dermatol. 2016 Apr;152(4):419-28." w:history="1">
        <w:r w:rsidRPr="0077122A">
          <w:rPr>
            <w:rStyle w:val="Hyperlink"/>
            <w:rFonts w:ascii="Arial" w:hAnsi="Arial" w:cs="Arial"/>
            <w:sz w:val="20"/>
            <w:szCs w:val="20"/>
            <w:vertAlign w:val="superscript"/>
            <w:lang w:val="en"/>
          </w:rPr>
          <w:t>3</w:t>
        </w:r>
      </w:hyperlink>
      <w:r w:rsidRPr="0077122A">
        <w:rPr>
          <w:rFonts w:ascii="Arial" w:hAnsi="Arial" w:cs="Arial"/>
          <w:sz w:val="20"/>
          <w:szCs w:val="20"/>
          <w:lang w:val="en"/>
        </w:rPr>
        <w:t>  Both terms are often interchangeable, but as per AJCC 8th edition, whenever possible, DOI, as measured from the granular layer of the adjacent normal epidermis to the base of the tumor is recommended for determining T status.  This DOI is measured at a right angle to the adjacent normal skin. The upper point of reference is the granular layer of the epidermis of the adjacent uninvolved epidermis. The lower reference point is the deepest point of tumor invasion (i</w:t>
      </w:r>
      <w:r w:rsidR="00801F3F">
        <w:rPr>
          <w:rFonts w:ascii="Arial" w:hAnsi="Arial" w:cs="Arial"/>
          <w:sz w:val="20"/>
          <w:szCs w:val="20"/>
          <w:lang w:val="en"/>
        </w:rPr>
        <w:t>.</w:t>
      </w:r>
      <w:r w:rsidRPr="0077122A">
        <w:rPr>
          <w:rFonts w:ascii="Arial" w:hAnsi="Arial" w:cs="Arial"/>
          <w:sz w:val="20"/>
          <w:szCs w:val="20"/>
          <w:lang w:val="en"/>
        </w:rPr>
        <w:t>e</w:t>
      </w:r>
      <w:r w:rsidR="00801F3F">
        <w:rPr>
          <w:rFonts w:ascii="Arial" w:hAnsi="Arial" w:cs="Arial"/>
          <w:sz w:val="20"/>
          <w:szCs w:val="20"/>
          <w:lang w:val="en"/>
        </w:rPr>
        <w:t>.</w:t>
      </w:r>
      <w:r w:rsidRPr="0077122A">
        <w:rPr>
          <w:rFonts w:ascii="Arial" w:hAnsi="Arial" w:cs="Arial"/>
          <w:sz w:val="20"/>
          <w:szCs w:val="20"/>
          <w:lang w:val="en"/>
        </w:rPr>
        <w:t>, the leading edge of a single mass or an isolated group of cells deep to the main mass).</w:t>
      </w:r>
    </w:p>
    <w:p w14:paraId="2D4B902D" w14:textId="77777777" w:rsidR="0077122A" w:rsidRDefault="0077122A" w:rsidP="00E87710">
      <w:pPr>
        <w:spacing w:after="0" w:line="276" w:lineRule="auto"/>
        <w:jc w:val="both"/>
        <w:rPr>
          <w:rFonts w:ascii="Arial" w:hAnsi="Arial" w:cs="Arial"/>
          <w:sz w:val="20"/>
          <w:szCs w:val="20"/>
          <w:lang w:val="en"/>
        </w:rPr>
      </w:pPr>
    </w:p>
    <w:p w14:paraId="222D8BC4"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If the tumor is transected by the deep margin of the specimen, the thickness may be indicated as “at least __ mm” with a comment explaining the limitation of thickness assessment.</w:t>
      </w:r>
    </w:p>
    <w:p w14:paraId="646AFBA3" w14:textId="77777777" w:rsidR="0077122A" w:rsidRDefault="0077122A" w:rsidP="00E87710">
      <w:pPr>
        <w:spacing w:after="0" w:line="276" w:lineRule="auto"/>
        <w:jc w:val="both"/>
        <w:rPr>
          <w:rFonts w:ascii="Arial" w:hAnsi="Arial" w:cs="Arial"/>
          <w:sz w:val="20"/>
          <w:szCs w:val="20"/>
          <w:lang w:val="en"/>
        </w:rPr>
      </w:pPr>
    </w:p>
    <w:p w14:paraId="6C14BCCD"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Anatomic (Clark) levels are defined as follows:</w:t>
      </w:r>
    </w:p>
    <w:p w14:paraId="0937FC50"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I</w:t>
      </w:r>
      <w:r w:rsidR="0077122A">
        <w:rPr>
          <w:rFonts w:ascii="Arial" w:hAnsi="Arial" w:cs="Arial"/>
          <w:sz w:val="20"/>
          <w:szCs w:val="20"/>
          <w:lang w:val="en"/>
        </w:rPr>
        <w:tab/>
      </w:r>
      <w:r w:rsidRPr="0077122A">
        <w:rPr>
          <w:rFonts w:ascii="Arial" w:hAnsi="Arial" w:cs="Arial"/>
          <w:sz w:val="20"/>
          <w:szCs w:val="20"/>
          <w:lang w:val="en"/>
        </w:rPr>
        <w:t>Intraepidermal tumor only</w:t>
      </w:r>
    </w:p>
    <w:p w14:paraId="2D795459" w14:textId="77777777"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II</w:t>
      </w:r>
      <w:r w:rsidR="0077122A">
        <w:rPr>
          <w:rFonts w:ascii="Arial" w:hAnsi="Arial" w:cs="Arial"/>
          <w:sz w:val="20"/>
          <w:szCs w:val="20"/>
          <w:lang w:val="en"/>
        </w:rPr>
        <w:tab/>
      </w:r>
      <w:r w:rsidRPr="0077122A">
        <w:rPr>
          <w:rFonts w:ascii="Arial" w:hAnsi="Arial" w:cs="Arial"/>
          <w:sz w:val="20"/>
          <w:szCs w:val="20"/>
          <w:lang w:val="en"/>
        </w:rPr>
        <w:t>Tumor present in but does not fill and expand papillary dermis</w:t>
      </w:r>
    </w:p>
    <w:p w14:paraId="7BF0FBFC" w14:textId="6604EABE"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III</w:t>
      </w:r>
      <w:r w:rsidR="0077122A">
        <w:rPr>
          <w:rFonts w:ascii="Arial" w:hAnsi="Arial" w:cs="Arial"/>
          <w:sz w:val="20"/>
          <w:szCs w:val="20"/>
          <w:lang w:val="en"/>
        </w:rPr>
        <w:tab/>
      </w:r>
      <w:r w:rsidRPr="0077122A">
        <w:rPr>
          <w:rFonts w:ascii="Arial" w:hAnsi="Arial" w:cs="Arial"/>
          <w:sz w:val="20"/>
          <w:szCs w:val="20"/>
          <w:lang w:val="en"/>
        </w:rPr>
        <w:t>Tumor fills and expands papillary dermis</w:t>
      </w:r>
    </w:p>
    <w:p w14:paraId="09ED6F59" w14:textId="6C79BEF1" w:rsidR="0077122A"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IV</w:t>
      </w:r>
      <w:r w:rsidR="0077122A">
        <w:rPr>
          <w:rFonts w:ascii="Arial" w:hAnsi="Arial" w:cs="Arial"/>
          <w:sz w:val="20"/>
          <w:szCs w:val="20"/>
          <w:lang w:val="en"/>
        </w:rPr>
        <w:tab/>
      </w:r>
      <w:r w:rsidRPr="0077122A">
        <w:rPr>
          <w:rFonts w:ascii="Arial" w:hAnsi="Arial" w:cs="Arial"/>
          <w:sz w:val="20"/>
          <w:szCs w:val="20"/>
          <w:lang w:val="en"/>
        </w:rPr>
        <w:t>Tumor invades into reticular dermis</w:t>
      </w:r>
    </w:p>
    <w:p w14:paraId="1B738F4F" w14:textId="77777777"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V</w:t>
      </w:r>
      <w:r w:rsidR="0077122A">
        <w:rPr>
          <w:rFonts w:ascii="Arial" w:hAnsi="Arial" w:cs="Arial"/>
          <w:sz w:val="20"/>
          <w:szCs w:val="20"/>
          <w:lang w:val="en"/>
        </w:rPr>
        <w:tab/>
      </w:r>
      <w:r w:rsidRPr="0077122A">
        <w:rPr>
          <w:rFonts w:ascii="Arial" w:hAnsi="Arial" w:cs="Arial"/>
          <w:sz w:val="20"/>
          <w:szCs w:val="20"/>
          <w:lang w:val="en"/>
        </w:rPr>
        <w:t>Tumor invades subcutis</w:t>
      </w:r>
    </w:p>
    <w:p w14:paraId="26FBB6B2" w14:textId="77777777" w:rsidR="00E87710" w:rsidRDefault="00E87710" w:rsidP="00E87710">
      <w:pPr>
        <w:spacing w:after="0" w:line="276" w:lineRule="auto"/>
        <w:jc w:val="both"/>
        <w:rPr>
          <w:rFonts w:ascii="Arial" w:hAnsi="Arial" w:cs="Arial"/>
          <w:sz w:val="20"/>
          <w:szCs w:val="20"/>
          <w:lang w:val="en"/>
        </w:rPr>
      </w:pPr>
    </w:p>
    <w:p w14:paraId="49919E3C" w14:textId="77777777" w:rsidR="00E87710" w:rsidRDefault="00FB191C" w:rsidP="00E87710">
      <w:pPr>
        <w:spacing w:after="0" w:line="276" w:lineRule="auto"/>
        <w:jc w:val="both"/>
        <w:rPr>
          <w:rFonts w:ascii="Arial" w:hAnsi="Arial" w:cs="Arial"/>
          <w:sz w:val="20"/>
          <w:szCs w:val="20"/>
          <w:lang w:val="en"/>
        </w:rPr>
      </w:pPr>
      <w:r w:rsidRPr="0077122A">
        <w:rPr>
          <w:rFonts w:ascii="Arial" w:eastAsia="Times New Roman" w:hAnsi="Arial" w:cs="Arial"/>
          <w:sz w:val="20"/>
          <w:szCs w:val="20"/>
          <w:lang w:val="en"/>
        </w:rPr>
        <w:t>References</w:t>
      </w:r>
      <w:bookmarkStart w:id="12" w:name="R40591"/>
    </w:p>
    <w:p w14:paraId="5E76DF05" w14:textId="77777777" w:rsidR="00E87710" w:rsidRPr="00E87710" w:rsidRDefault="00FB191C" w:rsidP="00E87710">
      <w:pPr>
        <w:pStyle w:val="ListParagraph"/>
        <w:numPr>
          <w:ilvl w:val="0"/>
          <w:numId w:val="16"/>
        </w:numPr>
        <w:spacing w:after="0" w:line="276" w:lineRule="auto"/>
        <w:jc w:val="both"/>
        <w:rPr>
          <w:rFonts w:ascii="Arial" w:hAnsi="Arial" w:cs="Arial"/>
          <w:sz w:val="20"/>
          <w:szCs w:val="20"/>
          <w:lang w:val="en"/>
        </w:rPr>
      </w:pPr>
      <w:r w:rsidRPr="00E87710">
        <w:rPr>
          <w:rFonts w:ascii="Arial" w:eastAsia="Times New Roman" w:hAnsi="Arial" w:cs="Arial"/>
          <w:sz w:val="20"/>
          <w:szCs w:val="20"/>
          <w:lang w:val="en"/>
        </w:rPr>
        <w:t xml:space="preserve">Saito Y, Fujikawa H, Takatsuka S, Abe R, Takenouchi T. Risk factors for lymph node metastasis in cutaneous squamous cell carcinoma: a long-term retrospective study of Japanese patients. </w:t>
      </w:r>
      <w:r w:rsidRPr="00E87710">
        <w:rPr>
          <w:rStyle w:val="Emphasis"/>
          <w:rFonts w:ascii="Arial" w:eastAsia="Times New Roman" w:hAnsi="Arial" w:cs="Arial"/>
          <w:sz w:val="20"/>
          <w:szCs w:val="20"/>
          <w:lang w:val="en"/>
        </w:rPr>
        <w:t>Int J Clin Oncol</w:t>
      </w:r>
      <w:r w:rsidRPr="00E87710">
        <w:rPr>
          <w:rFonts w:ascii="Arial" w:eastAsia="Times New Roman" w:hAnsi="Arial" w:cs="Arial"/>
          <w:sz w:val="20"/>
          <w:szCs w:val="20"/>
          <w:lang w:val="en"/>
        </w:rPr>
        <w:t>. 2021 Mar;26(3):606-612.</w:t>
      </w:r>
      <w:bookmarkStart w:id="13" w:name="R40592"/>
      <w:bookmarkEnd w:id="12"/>
    </w:p>
    <w:p w14:paraId="5121D825" w14:textId="77777777" w:rsidR="00E87710" w:rsidRPr="00E87710" w:rsidRDefault="00FB191C" w:rsidP="00E87710">
      <w:pPr>
        <w:pStyle w:val="ListParagraph"/>
        <w:numPr>
          <w:ilvl w:val="0"/>
          <w:numId w:val="16"/>
        </w:numPr>
        <w:spacing w:after="0" w:line="276" w:lineRule="auto"/>
        <w:jc w:val="both"/>
        <w:rPr>
          <w:rFonts w:ascii="Arial" w:hAnsi="Arial" w:cs="Arial"/>
          <w:sz w:val="20"/>
          <w:szCs w:val="20"/>
          <w:lang w:val="en"/>
        </w:rPr>
      </w:pPr>
      <w:r w:rsidRPr="00E87710">
        <w:rPr>
          <w:rFonts w:ascii="Arial" w:eastAsia="Times New Roman" w:hAnsi="Arial" w:cs="Arial"/>
          <w:sz w:val="20"/>
          <w:szCs w:val="20"/>
          <w:lang w:val="en"/>
        </w:rPr>
        <w:t xml:space="preserve">Schmitz L, Kanitakis J.  Histological classification of cutaneous squamous cell carcinomas with different severity. </w:t>
      </w:r>
      <w:r w:rsidRPr="00E87710">
        <w:rPr>
          <w:rStyle w:val="Emphasis"/>
          <w:rFonts w:ascii="Arial" w:eastAsia="Times New Roman" w:hAnsi="Arial" w:cs="Arial"/>
          <w:sz w:val="20"/>
          <w:szCs w:val="20"/>
          <w:lang w:val="en"/>
        </w:rPr>
        <w:t>J Eur Acad Dermatol Venereol</w:t>
      </w:r>
      <w:r w:rsidRPr="00E87710">
        <w:rPr>
          <w:rFonts w:ascii="Arial" w:eastAsia="Times New Roman" w:hAnsi="Arial" w:cs="Arial"/>
          <w:sz w:val="20"/>
          <w:szCs w:val="20"/>
          <w:lang w:val="en"/>
        </w:rPr>
        <w:t>. 2019 Dec;33 Suppl 8:11-15.</w:t>
      </w:r>
      <w:bookmarkStart w:id="14" w:name="R40593"/>
      <w:bookmarkEnd w:id="13"/>
    </w:p>
    <w:p w14:paraId="09CFBC9B" w14:textId="77777777" w:rsidR="00E87710" w:rsidRPr="00E87710" w:rsidRDefault="00FB191C" w:rsidP="00E87710">
      <w:pPr>
        <w:pStyle w:val="ListParagraph"/>
        <w:numPr>
          <w:ilvl w:val="0"/>
          <w:numId w:val="16"/>
        </w:numPr>
        <w:spacing w:after="0" w:line="276" w:lineRule="auto"/>
        <w:jc w:val="both"/>
        <w:rPr>
          <w:rFonts w:ascii="Arial" w:hAnsi="Arial" w:cs="Arial"/>
          <w:sz w:val="20"/>
          <w:szCs w:val="20"/>
          <w:lang w:val="en"/>
        </w:rPr>
      </w:pPr>
      <w:r w:rsidRPr="00E87710">
        <w:rPr>
          <w:rFonts w:ascii="Arial" w:eastAsia="Times New Roman" w:hAnsi="Arial" w:cs="Arial"/>
          <w:sz w:val="20"/>
          <w:szCs w:val="20"/>
          <w:lang w:val="en"/>
        </w:rPr>
        <w:t xml:space="preserve">Thompson AK, Kelley BF, Prokop LJ, Murad MH, Baum CL. Risk Factors for Cutaneous Squamous Cell Carcinoma Recurrence, Metastasis, and Disease-Specific Death: A Systematic Review and Meta-analysis. </w:t>
      </w:r>
      <w:r w:rsidRPr="00E87710">
        <w:rPr>
          <w:rStyle w:val="Emphasis"/>
          <w:rFonts w:ascii="Arial" w:eastAsia="Times New Roman" w:hAnsi="Arial" w:cs="Arial"/>
          <w:sz w:val="20"/>
          <w:szCs w:val="20"/>
          <w:lang w:val="en"/>
        </w:rPr>
        <w:t>JAMA Dermatol</w:t>
      </w:r>
      <w:r w:rsidRPr="00E87710">
        <w:rPr>
          <w:rFonts w:ascii="Arial" w:eastAsia="Times New Roman" w:hAnsi="Arial" w:cs="Arial"/>
          <w:sz w:val="20"/>
          <w:szCs w:val="20"/>
          <w:lang w:val="en"/>
        </w:rPr>
        <w:t>. 2016 Apr;152(4):419-28.</w:t>
      </w:r>
      <w:bookmarkStart w:id="15" w:name="N9536"/>
      <w:bookmarkEnd w:id="14"/>
    </w:p>
    <w:p w14:paraId="35BC9ADA" w14:textId="77777777" w:rsidR="00E87710" w:rsidRDefault="00E87710" w:rsidP="00E87710">
      <w:pPr>
        <w:spacing w:after="0" w:line="276" w:lineRule="auto"/>
        <w:jc w:val="both"/>
        <w:rPr>
          <w:rFonts w:ascii="Arial" w:eastAsia="Times New Roman" w:hAnsi="Arial" w:cs="Arial"/>
          <w:b/>
          <w:bCs/>
          <w:sz w:val="20"/>
          <w:szCs w:val="20"/>
          <w:lang w:val="en"/>
        </w:rPr>
      </w:pPr>
    </w:p>
    <w:p w14:paraId="2F370F8B" w14:textId="77777777" w:rsidR="00E87710" w:rsidRDefault="00FB191C" w:rsidP="00E87710">
      <w:pPr>
        <w:spacing w:after="0" w:line="276" w:lineRule="auto"/>
        <w:jc w:val="both"/>
        <w:rPr>
          <w:rFonts w:ascii="Arial" w:eastAsia="Times New Roman" w:hAnsi="Arial" w:cs="Arial"/>
          <w:b/>
          <w:bCs/>
          <w:sz w:val="20"/>
          <w:szCs w:val="20"/>
          <w:lang w:val="en"/>
        </w:rPr>
      </w:pPr>
      <w:r w:rsidRPr="00E87710">
        <w:rPr>
          <w:rFonts w:ascii="Arial" w:eastAsia="Times New Roman" w:hAnsi="Arial" w:cs="Arial"/>
          <w:b/>
          <w:bCs/>
          <w:sz w:val="20"/>
          <w:szCs w:val="20"/>
          <w:lang w:val="en"/>
        </w:rPr>
        <w:t>E. Perineural Invasion</w:t>
      </w:r>
      <w:bookmarkEnd w:id="15"/>
    </w:p>
    <w:p w14:paraId="3577CB4F" w14:textId="77777777"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While perineural invasion in cutaneous squamous cell carcinoma is an independent poor prognosticator,</w:t>
      </w:r>
      <w:hyperlink w:anchor="R40594" w:tooltip="Zhang J, Wang Y, Wijaya WA, Liang Z, Chen J.J. Efficacy and prognostic factors of adjuvant radiotherapy for cutaneous squamous cell carcinoma: A systematic review and meta-analysis. Eur Acad Dermatol Venereol. 2021 Sep;35(9):1777-1787." w:history="1">
        <w:r w:rsidRPr="0077122A">
          <w:rPr>
            <w:rStyle w:val="Hyperlink"/>
            <w:rFonts w:ascii="Arial" w:hAnsi="Arial" w:cs="Arial"/>
            <w:sz w:val="20"/>
            <w:szCs w:val="20"/>
            <w:vertAlign w:val="superscript"/>
            <w:lang w:val="en"/>
          </w:rPr>
          <w:t>1</w:t>
        </w:r>
      </w:hyperlink>
      <w:r w:rsidRPr="0077122A">
        <w:rPr>
          <w:rFonts w:ascii="Arial" w:hAnsi="Arial" w:cs="Arial"/>
          <w:sz w:val="20"/>
          <w:szCs w:val="20"/>
          <w:lang w:val="en"/>
        </w:rPr>
        <w:t> evidence suggests that a more nuanced approach to this parameter allows for improved stratification of patients. Size, location with respect to tumor, anatomic depth, number and even microscopic extent (circumferential vs focal) are key features to consider.</w:t>
      </w:r>
      <w:hyperlink w:anchor="R40595" w:tooltip="Totonchy MB, McNiff JM, Suozzi KC, Leffell DJ, Christensen SR. A Histopathologic Scoring System for Perineural Invasion Correlates with Adverse Outcomes in Patients with Cutaneous Squamous Cell Carcinoma. Dermatol Surg. 2021 Apr 1;47(4):445-451." w:history="1">
        <w:r w:rsidRPr="0077122A">
          <w:rPr>
            <w:rStyle w:val="Hyperlink"/>
            <w:rFonts w:ascii="Arial" w:hAnsi="Arial" w:cs="Arial"/>
            <w:sz w:val="20"/>
            <w:szCs w:val="20"/>
            <w:vertAlign w:val="superscript"/>
            <w:lang w:val="en"/>
          </w:rPr>
          <w:t>2</w:t>
        </w:r>
      </w:hyperlink>
      <w:r w:rsidRPr="0077122A">
        <w:rPr>
          <w:rFonts w:ascii="Arial" w:hAnsi="Arial" w:cs="Arial"/>
          <w:sz w:val="20"/>
          <w:szCs w:val="20"/>
          <w:lang w:val="en"/>
        </w:rPr>
        <w:t xml:space="preserve">  Of these, the diameter of involved nerve is more studied and a diameter of greater than or equal to 0.1 mm is included in the </w:t>
      </w:r>
      <w:r w:rsidRPr="0077122A">
        <w:rPr>
          <w:rFonts w:ascii="Arial" w:hAnsi="Arial" w:cs="Arial"/>
          <w:sz w:val="20"/>
          <w:szCs w:val="20"/>
          <w:lang w:val="en"/>
        </w:rPr>
        <w:lastRenderedPageBreak/>
        <w:t>definition of “deep invasion” in pT status.</w:t>
      </w:r>
      <w:hyperlink w:anchor="R40596" w:tooltip="Ross AS, Whalen FM, Elenitsas R, Xu X, Troxel AB, Schmults CD. Diameter of involved nerves predicts outcomes in cutaneous squamous cell carcinoma with perineural invasion: an investigator-blinded retrospective cohort study. Dermatol Surg. 2009 Dec;35(12):1859-" w:history="1">
        <w:r w:rsidRPr="0077122A">
          <w:rPr>
            <w:rStyle w:val="Hyperlink"/>
            <w:rFonts w:ascii="Arial" w:hAnsi="Arial" w:cs="Arial"/>
            <w:sz w:val="20"/>
            <w:szCs w:val="20"/>
            <w:vertAlign w:val="superscript"/>
            <w:lang w:val="en"/>
          </w:rPr>
          <w:t>3,</w:t>
        </w:r>
      </w:hyperlink>
      <w:hyperlink w:anchor="R40597" w:tooltip="Karia PS, Jambusaria-Pahlajani A, Harrington DP, Murphy GF, Qureshi AA, Schmults CD. Evaluation of American Joint Committee on Cancer, International Union Against Cancer, and Brigham and Women" w:history="1">
        <w:r w:rsidRPr="0077122A">
          <w:rPr>
            <w:rStyle w:val="Hyperlink"/>
            <w:rFonts w:ascii="Arial" w:hAnsi="Arial" w:cs="Arial"/>
            <w:sz w:val="20"/>
            <w:szCs w:val="20"/>
            <w:vertAlign w:val="superscript"/>
            <w:lang w:val="en"/>
          </w:rPr>
          <w:t>4</w:t>
        </w:r>
      </w:hyperlink>
      <w:r w:rsidRPr="0077122A">
        <w:rPr>
          <w:rFonts w:ascii="Arial" w:hAnsi="Arial" w:cs="Arial"/>
          <w:sz w:val="20"/>
          <w:szCs w:val="20"/>
          <w:lang w:val="en"/>
        </w:rPr>
        <w:t> Location of the involved nerve deep to the dermis serves as a surrogate for this size cut-off and can be used even in the absence of a reticle or ocular micrometer to help assign a pT category. In other words, the size of involved nerves deep to the dermis can be classified as greater than or equal to 0.1 mm.</w:t>
      </w:r>
    </w:p>
    <w:p w14:paraId="7A07E244" w14:textId="77777777" w:rsidR="00E87710" w:rsidRDefault="00E87710" w:rsidP="00E87710">
      <w:pPr>
        <w:spacing w:after="0" w:line="276" w:lineRule="auto"/>
        <w:jc w:val="both"/>
        <w:rPr>
          <w:rFonts w:ascii="Arial" w:hAnsi="Arial" w:cs="Arial"/>
          <w:sz w:val="20"/>
          <w:szCs w:val="20"/>
          <w:lang w:val="en"/>
        </w:rPr>
      </w:pPr>
    </w:p>
    <w:p w14:paraId="3C25704C" w14:textId="77777777" w:rsidR="00E87710" w:rsidRDefault="00FB191C" w:rsidP="00E87710">
      <w:pPr>
        <w:spacing w:after="0" w:line="276" w:lineRule="auto"/>
        <w:jc w:val="both"/>
        <w:rPr>
          <w:rFonts w:ascii="Arial" w:hAnsi="Arial" w:cs="Arial"/>
          <w:sz w:val="20"/>
          <w:szCs w:val="20"/>
          <w:lang w:val="en"/>
        </w:rPr>
      </w:pPr>
      <w:r w:rsidRPr="0077122A">
        <w:rPr>
          <w:rFonts w:ascii="Arial" w:eastAsia="Times New Roman" w:hAnsi="Arial" w:cs="Arial"/>
          <w:sz w:val="20"/>
          <w:szCs w:val="20"/>
          <w:lang w:val="en"/>
        </w:rPr>
        <w:t>References</w:t>
      </w:r>
      <w:bookmarkStart w:id="16" w:name="R40594"/>
    </w:p>
    <w:p w14:paraId="733E0750" w14:textId="77777777" w:rsidR="00E87710" w:rsidRPr="00E87710" w:rsidRDefault="00FB191C" w:rsidP="00E87710">
      <w:pPr>
        <w:pStyle w:val="ListParagraph"/>
        <w:numPr>
          <w:ilvl w:val="0"/>
          <w:numId w:val="17"/>
        </w:numPr>
        <w:spacing w:after="0" w:line="276" w:lineRule="auto"/>
        <w:jc w:val="both"/>
        <w:rPr>
          <w:rFonts w:ascii="Arial" w:hAnsi="Arial" w:cs="Arial"/>
          <w:sz w:val="20"/>
          <w:szCs w:val="20"/>
          <w:lang w:val="en"/>
        </w:rPr>
      </w:pPr>
      <w:r w:rsidRPr="00E87710">
        <w:rPr>
          <w:rFonts w:ascii="Arial" w:eastAsia="Times New Roman" w:hAnsi="Arial" w:cs="Arial"/>
          <w:sz w:val="20"/>
          <w:szCs w:val="20"/>
          <w:lang w:val="en"/>
        </w:rPr>
        <w:t xml:space="preserve">Zhang J, Wang Y, Wijaya WA, Liang Z, Chen J.J. Efficacy and prognostic factors of adjuvant radiotherapy for cutaneous squamous cell carcinoma: A systematic review and meta-analysis. </w:t>
      </w:r>
      <w:r w:rsidRPr="00E87710">
        <w:rPr>
          <w:rStyle w:val="Emphasis"/>
          <w:rFonts w:ascii="Arial" w:eastAsia="Times New Roman" w:hAnsi="Arial" w:cs="Arial"/>
          <w:sz w:val="20"/>
          <w:szCs w:val="20"/>
          <w:lang w:val="en"/>
        </w:rPr>
        <w:t>Eur Acad Dermatol Venereol.</w:t>
      </w:r>
      <w:r w:rsidRPr="00E87710">
        <w:rPr>
          <w:rFonts w:ascii="Arial" w:eastAsia="Times New Roman" w:hAnsi="Arial" w:cs="Arial"/>
          <w:sz w:val="20"/>
          <w:szCs w:val="20"/>
          <w:lang w:val="en"/>
        </w:rPr>
        <w:t xml:space="preserve"> 2021 Sep;35(9):1777-1787.</w:t>
      </w:r>
      <w:bookmarkStart w:id="17" w:name="R40595"/>
      <w:bookmarkEnd w:id="16"/>
    </w:p>
    <w:p w14:paraId="0A6A70DC" w14:textId="77777777" w:rsidR="00E87710" w:rsidRPr="00E87710" w:rsidRDefault="00FB191C" w:rsidP="00E87710">
      <w:pPr>
        <w:pStyle w:val="ListParagraph"/>
        <w:numPr>
          <w:ilvl w:val="0"/>
          <w:numId w:val="17"/>
        </w:numPr>
        <w:spacing w:after="0" w:line="276" w:lineRule="auto"/>
        <w:jc w:val="both"/>
        <w:rPr>
          <w:rFonts w:ascii="Arial" w:hAnsi="Arial" w:cs="Arial"/>
          <w:sz w:val="20"/>
          <w:szCs w:val="20"/>
          <w:lang w:val="en"/>
        </w:rPr>
      </w:pPr>
      <w:r w:rsidRPr="00E87710">
        <w:rPr>
          <w:rFonts w:ascii="Arial" w:eastAsia="Times New Roman" w:hAnsi="Arial" w:cs="Arial"/>
          <w:sz w:val="20"/>
          <w:szCs w:val="20"/>
          <w:lang w:val="en"/>
        </w:rPr>
        <w:t xml:space="preserve">Totonchy MB, McNiff JM, Suozzi KC, Leffell DJ, Christensen SR. A Histopathologic Scoring System for Perineural Invasion Correlates with Adverse Outcomes in Patients with Cutaneous Squamous Cell Carcinoma. </w:t>
      </w:r>
      <w:r w:rsidRPr="00E87710">
        <w:rPr>
          <w:rStyle w:val="Emphasis"/>
          <w:rFonts w:ascii="Arial" w:eastAsia="Times New Roman" w:hAnsi="Arial" w:cs="Arial"/>
          <w:sz w:val="20"/>
          <w:szCs w:val="20"/>
          <w:lang w:val="en"/>
        </w:rPr>
        <w:t>Dermatol Surg.</w:t>
      </w:r>
      <w:r w:rsidRPr="00E87710">
        <w:rPr>
          <w:rFonts w:ascii="Arial" w:eastAsia="Times New Roman" w:hAnsi="Arial" w:cs="Arial"/>
          <w:sz w:val="20"/>
          <w:szCs w:val="20"/>
          <w:lang w:val="en"/>
        </w:rPr>
        <w:t xml:space="preserve"> 2021 Apr 1;47(4):445-451.</w:t>
      </w:r>
      <w:bookmarkStart w:id="18" w:name="R40596"/>
      <w:bookmarkEnd w:id="17"/>
    </w:p>
    <w:p w14:paraId="3B8809DF" w14:textId="77777777" w:rsidR="00E87710" w:rsidRPr="00E87710" w:rsidRDefault="00FB191C" w:rsidP="00E87710">
      <w:pPr>
        <w:pStyle w:val="ListParagraph"/>
        <w:numPr>
          <w:ilvl w:val="0"/>
          <w:numId w:val="17"/>
        </w:numPr>
        <w:spacing w:after="0" w:line="276" w:lineRule="auto"/>
        <w:jc w:val="both"/>
        <w:rPr>
          <w:rFonts w:ascii="Arial" w:hAnsi="Arial" w:cs="Arial"/>
          <w:sz w:val="20"/>
          <w:szCs w:val="20"/>
          <w:lang w:val="en"/>
        </w:rPr>
      </w:pPr>
      <w:r w:rsidRPr="00E87710">
        <w:rPr>
          <w:rFonts w:ascii="Arial" w:eastAsia="Times New Roman" w:hAnsi="Arial" w:cs="Arial"/>
          <w:sz w:val="20"/>
          <w:szCs w:val="20"/>
          <w:lang w:val="en"/>
        </w:rPr>
        <w:t xml:space="preserve">Ross AS, Whalen FM, Elenitsas R, Xu X, Troxel AB, Schmults CD. Diameter of involved nerves predicts outcomes in cutaneous squamous cell carcinoma with perineural invasion: an investigator-blinded retrospective cohort study. </w:t>
      </w:r>
      <w:r w:rsidRPr="00E87710">
        <w:rPr>
          <w:rStyle w:val="Emphasis"/>
          <w:rFonts w:ascii="Arial" w:eastAsia="Times New Roman" w:hAnsi="Arial" w:cs="Arial"/>
          <w:sz w:val="20"/>
          <w:szCs w:val="20"/>
          <w:lang w:val="en"/>
        </w:rPr>
        <w:t>Dermatol Surg.</w:t>
      </w:r>
      <w:r w:rsidRPr="00E87710">
        <w:rPr>
          <w:rFonts w:ascii="Arial" w:eastAsia="Times New Roman" w:hAnsi="Arial" w:cs="Arial"/>
          <w:sz w:val="20"/>
          <w:szCs w:val="20"/>
          <w:lang w:val="en"/>
        </w:rPr>
        <w:t xml:space="preserve"> 2009 Dec;35(12):1859-66.</w:t>
      </w:r>
      <w:bookmarkStart w:id="19" w:name="R40597"/>
      <w:bookmarkEnd w:id="18"/>
    </w:p>
    <w:p w14:paraId="569EFEB0" w14:textId="77777777" w:rsidR="00E87710" w:rsidRPr="00E87710" w:rsidRDefault="00FB191C" w:rsidP="00E87710">
      <w:pPr>
        <w:pStyle w:val="ListParagraph"/>
        <w:numPr>
          <w:ilvl w:val="0"/>
          <w:numId w:val="17"/>
        </w:numPr>
        <w:spacing w:after="0" w:line="276" w:lineRule="auto"/>
        <w:jc w:val="both"/>
        <w:rPr>
          <w:rFonts w:ascii="Arial" w:hAnsi="Arial" w:cs="Arial"/>
          <w:sz w:val="20"/>
          <w:szCs w:val="20"/>
          <w:lang w:val="en"/>
        </w:rPr>
      </w:pPr>
      <w:r w:rsidRPr="00E87710">
        <w:rPr>
          <w:rFonts w:ascii="Arial" w:eastAsia="Times New Roman" w:hAnsi="Arial" w:cs="Arial"/>
          <w:sz w:val="20"/>
          <w:szCs w:val="20"/>
          <w:lang w:val="en"/>
        </w:rPr>
        <w:t xml:space="preserve">Karia PS, Jambusaria-Pahlajani A, Harrington DP, Murphy GF, Qureshi AA, Schmults CD. Evaluation of American Joint Committee on Cancer, International Union Against Cancer, and Brigham and Women's Hospital tumor staging for cutaneous squamous cell carcinoma. </w:t>
      </w:r>
      <w:r w:rsidRPr="00E87710">
        <w:rPr>
          <w:rStyle w:val="Emphasis"/>
          <w:rFonts w:ascii="Arial" w:eastAsia="Times New Roman" w:hAnsi="Arial" w:cs="Arial"/>
          <w:sz w:val="20"/>
          <w:szCs w:val="20"/>
          <w:lang w:val="en"/>
        </w:rPr>
        <w:t>J Clin Oncol.</w:t>
      </w:r>
      <w:r w:rsidRPr="00E87710">
        <w:rPr>
          <w:rFonts w:ascii="Arial" w:eastAsia="Times New Roman" w:hAnsi="Arial" w:cs="Arial"/>
          <w:sz w:val="20"/>
          <w:szCs w:val="20"/>
          <w:lang w:val="en"/>
        </w:rPr>
        <w:t xml:space="preserve"> 2014 Feb 1;32(4):327-34.</w:t>
      </w:r>
      <w:bookmarkStart w:id="20" w:name="N9537"/>
      <w:bookmarkEnd w:id="19"/>
    </w:p>
    <w:p w14:paraId="39F42478" w14:textId="77777777" w:rsidR="00E87710" w:rsidRDefault="00E87710" w:rsidP="00E87710">
      <w:pPr>
        <w:spacing w:after="0" w:line="276" w:lineRule="auto"/>
        <w:jc w:val="both"/>
        <w:rPr>
          <w:rFonts w:ascii="Arial" w:eastAsia="Times New Roman" w:hAnsi="Arial" w:cs="Arial"/>
          <w:b/>
          <w:bCs/>
          <w:sz w:val="20"/>
          <w:szCs w:val="20"/>
          <w:lang w:val="en"/>
        </w:rPr>
      </w:pPr>
    </w:p>
    <w:p w14:paraId="39B3651B" w14:textId="77777777" w:rsidR="00E87710" w:rsidRDefault="00FB191C" w:rsidP="00E87710">
      <w:pPr>
        <w:spacing w:after="0" w:line="276" w:lineRule="auto"/>
        <w:jc w:val="both"/>
        <w:rPr>
          <w:rFonts w:ascii="Arial" w:eastAsia="Times New Roman" w:hAnsi="Arial" w:cs="Arial"/>
          <w:b/>
          <w:bCs/>
          <w:sz w:val="20"/>
          <w:szCs w:val="20"/>
          <w:lang w:val="en"/>
        </w:rPr>
      </w:pPr>
      <w:r w:rsidRPr="00E87710">
        <w:rPr>
          <w:rFonts w:ascii="Arial" w:eastAsia="Times New Roman" w:hAnsi="Arial" w:cs="Arial"/>
          <w:b/>
          <w:bCs/>
          <w:sz w:val="20"/>
          <w:szCs w:val="20"/>
          <w:lang w:val="en"/>
        </w:rPr>
        <w:t>F. Margins</w:t>
      </w:r>
      <w:bookmarkEnd w:id="20"/>
    </w:p>
    <w:p w14:paraId="70B3CB09" w14:textId="77777777"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Margin status emerges as a key adverse prognosticator on meta-analysis and is a critical factor to consider for consideration of adjuvant radiotherapy and is thus a required reporting element.</w:t>
      </w:r>
      <w:hyperlink w:anchor="R40598" w:tooltip="Zhang J, Wang Y, Wijaya WA, Liang Z, Chen J.J. Efficacy and prognostic factors of adjuvant radiotherapy for cutaneous squamous cell carcinoma: A systematic review and meta-analysis. Eur Acad Dermatol Venereol. 2021 Sep;35(9):1777-1787." w:history="1">
        <w:r w:rsidRPr="0077122A">
          <w:rPr>
            <w:rStyle w:val="Hyperlink"/>
            <w:rFonts w:ascii="Arial" w:hAnsi="Arial" w:cs="Arial"/>
            <w:sz w:val="20"/>
            <w:szCs w:val="20"/>
            <w:vertAlign w:val="superscript"/>
            <w:lang w:val="en"/>
          </w:rPr>
          <w:t>1</w:t>
        </w:r>
      </w:hyperlink>
      <w:r w:rsidRPr="0077122A">
        <w:rPr>
          <w:rFonts w:ascii="Arial" w:hAnsi="Arial" w:cs="Arial"/>
          <w:sz w:val="20"/>
          <w:szCs w:val="20"/>
          <w:lang w:val="en"/>
        </w:rPr>
        <w:t>  If the specimen is oriented or can be oriented based on anatomic landmarks, the position of margins involved by tumor should be indicated. Although a comment on margins is necessary only for wide local excisions or formal resections, it is commonly employed in many (dermato)pathology laboratories on all specimens and has been advocated as part of a standard diagnostic template.</w:t>
      </w:r>
      <w:hyperlink w:anchor="R40599" w:tooltip="Khanna M, Fortier-Riberdy G, Dinehart SM, Smoller B. Histopathologic evaluation of cutaneous squamous cell carcinoma: results of a survey among dermatopathologists.  J Am Acad Dermatol. 2003;48(5):721-726." w:history="1">
        <w:r w:rsidRPr="0077122A">
          <w:rPr>
            <w:rStyle w:val="Hyperlink"/>
            <w:rFonts w:ascii="Arial" w:hAnsi="Arial" w:cs="Arial"/>
            <w:sz w:val="20"/>
            <w:szCs w:val="20"/>
            <w:vertAlign w:val="superscript"/>
            <w:lang w:val="en"/>
          </w:rPr>
          <w:t>2</w:t>
        </w:r>
      </w:hyperlink>
    </w:p>
    <w:p w14:paraId="3B05A036" w14:textId="77777777" w:rsidR="00E87710" w:rsidRDefault="00E87710" w:rsidP="00E87710">
      <w:pPr>
        <w:spacing w:after="0" w:line="276" w:lineRule="auto"/>
        <w:jc w:val="both"/>
        <w:rPr>
          <w:rFonts w:ascii="Arial" w:hAnsi="Arial" w:cs="Arial"/>
          <w:sz w:val="20"/>
          <w:szCs w:val="20"/>
          <w:lang w:val="en"/>
        </w:rPr>
      </w:pPr>
    </w:p>
    <w:p w14:paraId="497604BB" w14:textId="77777777"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Distance of tumor to margins is not well studied in cutaneous squamous cell carcinomas and is thus currently not required.  Nonetheless reporting of this parameter is highly recommended to maintain equivalence of reporting standards with mucosal counterparts.  Current NCCN guidelines recommend gross clearance of 4-6 mm for tumors less than 2.0 cm, and wider (without specifying) on larger advanced stage tumors under the purview of this protocol.</w:t>
      </w:r>
      <w:hyperlink w:anchor="R40600" w:tooltip="NCCN clinical practice guidelines in oncology (NCCN Guidelines®) squamous cell skin cancer. 2018 11/08/2018." w:history="1">
        <w:r w:rsidRPr="0077122A">
          <w:rPr>
            <w:rStyle w:val="Hyperlink"/>
            <w:rFonts w:ascii="Arial" w:hAnsi="Arial" w:cs="Arial"/>
            <w:sz w:val="20"/>
            <w:szCs w:val="20"/>
            <w:vertAlign w:val="superscript"/>
            <w:lang w:val="en"/>
          </w:rPr>
          <w:t>3</w:t>
        </w:r>
      </w:hyperlink>
      <w:r w:rsidRPr="0077122A">
        <w:rPr>
          <w:rFonts w:ascii="Arial" w:hAnsi="Arial" w:cs="Arial"/>
          <w:sz w:val="20"/>
          <w:szCs w:val="20"/>
          <w:lang w:val="en"/>
        </w:rPr>
        <w:t>  However, only a single prospective study using Mohs technique was the basis for these guidelines.</w:t>
      </w:r>
      <w:hyperlink w:anchor="R40601" w:tooltip="Brodland DG, Zitelli JA. Surgical margins for excision of primary cutaneous squamous cell carcinoma. Journal of American Academic Dermatology. 1992;27(2 Pt 1):241–248." w:history="1">
        <w:r w:rsidRPr="0077122A">
          <w:rPr>
            <w:rStyle w:val="Hyperlink"/>
            <w:rFonts w:ascii="Arial" w:hAnsi="Arial" w:cs="Arial"/>
            <w:sz w:val="20"/>
            <w:szCs w:val="20"/>
            <w:vertAlign w:val="superscript"/>
            <w:lang w:val="en"/>
          </w:rPr>
          <w:t>4</w:t>
        </w:r>
      </w:hyperlink>
      <w:r w:rsidRPr="0077122A">
        <w:rPr>
          <w:rFonts w:ascii="Arial" w:hAnsi="Arial" w:cs="Arial"/>
          <w:sz w:val="20"/>
          <w:szCs w:val="20"/>
          <w:lang w:val="en"/>
        </w:rPr>
        <w:t>  Equivalence to margin distances for wide local excision/ resection let alone microscopic margin distances is not established in these guidelines.  However, for head and neck sites limited evidence does suggest some prognostic value at a cutoff of 5 mm on univariate analysis.</w:t>
      </w:r>
      <w:hyperlink w:anchor="R40602" w:tooltip="Phillips TJ, Harris BN, Moore MG, Farwell DG, Bewley AF. Pathological margins and advanced cutaneous squamous cell carcinoma of the head and neck. J Otolaryngol Head Neck Surg. 2019 Oct 25;48(1):55." w:history="1">
        <w:r w:rsidRPr="0077122A">
          <w:rPr>
            <w:rStyle w:val="Hyperlink"/>
            <w:rFonts w:ascii="Arial" w:hAnsi="Arial" w:cs="Arial"/>
            <w:sz w:val="20"/>
            <w:szCs w:val="20"/>
            <w:vertAlign w:val="superscript"/>
            <w:lang w:val="en"/>
          </w:rPr>
          <w:t>5</w:t>
        </w:r>
      </w:hyperlink>
    </w:p>
    <w:p w14:paraId="54F9E1C1" w14:textId="77777777" w:rsidR="00E87710" w:rsidRDefault="00E87710" w:rsidP="00E87710">
      <w:pPr>
        <w:spacing w:after="0" w:line="276" w:lineRule="auto"/>
        <w:jc w:val="both"/>
        <w:rPr>
          <w:rFonts w:ascii="Arial" w:hAnsi="Arial" w:cs="Arial"/>
          <w:sz w:val="20"/>
          <w:szCs w:val="20"/>
          <w:lang w:val="en"/>
        </w:rPr>
      </w:pPr>
    </w:p>
    <w:p w14:paraId="7A60437F" w14:textId="77777777" w:rsidR="00E87710" w:rsidRDefault="00FB191C" w:rsidP="00E87710">
      <w:pPr>
        <w:spacing w:after="0" w:line="276" w:lineRule="auto"/>
        <w:jc w:val="both"/>
        <w:rPr>
          <w:rFonts w:ascii="Arial" w:hAnsi="Arial" w:cs="Arial"/>
          <w:sz w:val="20"/>
          <w:szCs w:val="20"/>
          <w:lang w:val="en"/>
        </w:rPr>
      </w:pPr>
      <w:r w:rsidRPr="0077122A">
        <w:rPr>
          <w:rFonts w:ascii="Arial" w:eastAsia="Times New Roman" w:hAnsi="Arial" w:cs="Arial"/>
          <w:sz w:val="20"/>
          <w:szCs w:val="20"/>
          <w:lang w:val="en"/>
        </w:rPr>
        <w:t>References</w:t>
      </w:r>
      <w:bookmarkStart w:id="21" w:name="R40598"/>
    </w:p>
    <w:p w14:paraId="4D4B6E4C" w14:textId="77777777" w:rsidR="00E87710" w:rsidRPr="00E87710" w:rsidRDefault="00FB191C" w:rsidP="00E87710">
      <w:pPr>
        <w:pStyle w:val="ListParagraph"/>
        <w:numPr>
          <w:ilvl w:val="0"/>
          <w:numId w:val="18"/>
        </w:numPr>
        <w:spacing w:after="0" w:line="276" w:lineRule="auto"/>
        <w:jc w:val="both"/>
        <w:rPr>
          <w:rFonts w:ascii="Arial" w:hAnsi="Arial" w:cs="Arial"/>
          <w:sz w:val="20"/>
          <w:szCs w:val="20"/>
          <w:lang w:val="en"/>
        </w:rPr>
      </w:pPr>
      <w:r w:rsidRPr="00E87710">
        <w:rPr>
          <w:rFonts w:ascii="Arial" w:eastAsia="Times New Roman" w:hAnsi="Arial" w:cs="Arial"/>
          <w:sz w:val="20"/>
          <w:szCs w:val="20"/>
          <w:lang w:val="en"/>
        </w:rPr>
        <w:t xml:space="preserve">Zhang J, Wang Y, Wijaya WA, Liang Z, Chen J.J. Efficacy and prognostic factors of adjuvant radiotherapy for cutaneous squamous cell carcinoma: A systematic review and meta-analysis. </w:t>
      </w:r>
      <w:r w:rsidRPr="00E87710">
        <w:rPr>
          <w:rStyle w:val="Emphasis"/>
          <w:rFonts w:ascii="Arial" w:eastAsia="Times New Roman" w:hAnsi="Arial" w:cs="Arial"/>
          <w:sz w:val="20"/>
          <w:szCs w:val="20"/>
          <w:lang w:val="en"/>
        </w:rPr>
        <w:t>Eur Acad Dermatol Venereol</w:t>
      </w:r>
      <w:r w:rsidRPr="00E87710">
        <w:rPr>
          <w:rFonts w:ascii="Arial" w:eastAsia="Times New Roman" w:hAnsi="Arial" w:cs="Arial"/>
          <w:sz w:val="20"/>
          <w:szCs w:val="20"/>
          <w:lang w:val="en"/>
        </w:rPr>
        <w:t>. 2021 Sep;35(9):1777-1787.</w:t>
      </w:r>
      <w:bookmarkStart w:id="22" w:name="R40599"/>
      <w:bookmarkEnd w:id="21"/>
    </w:p>
    <w:p w14:paraId="2F5E06F3" w14:textId="77777777" w:rsidR="00E87710" w:rsidRPr="00E87710" w:rsidRDefault="00FB191C" w:rsidP="00E87710">
      <w:pPr>
        <w:pStyle w:val="ListParagraph"/>
        <w:numPr>
          <w:ilvl w:val="0"/>
          <w:numId w:val="18"/>
        </w:numPr>
        <w:spacing w:after="0" w:line="276" w:lineRule="auto"/>
        <w:jc w:val="both"/>
        <w:rPr>
          <w:rFonts w:ascii="Arial" w:hAnsi="Arial" w:cs="Arial"/>
          <w:sz w:val="20"/>
          <w:szCs w:val="20"/>
          <w:lang w:val="en"/>
        </w:rPr>
      </w:pPr>
      <w:r w:rsidRPr="00E87710">
        <w:rPr>
          <w:rFonts w:ascii="Arial" w:eastAsia="Times New Roman" w:hAnsi="Arial" w:cs="Arial"/>
          <w:sz w:val="20"/>
          <w:szCs w:val="20"/>
          <w:lang w:val="en"/>
        </w:rPr>
        <w:t xml:space="preserve">Khanna M, Fortier-Riberdy G, Dinehart SM, Smoller B. Histopathologic evaluation of cutaneous squamous cell carcinoma: results of a survey among dermatopathologists.  </w:t>
      </w:r>
      <w:r w:rsidRPr="00E87710">
        <w:rPr>
          <w:rStyle w:val="Emphasis"/>
          <w:rFonts w:ascii="Arial" w:eastAsia="Times New Roman" w:hAnsi="Arial" w:cs="Arial"/>
          <w:sz w:val="20"/>
          <w:szCs w:val="20"/>
          <w:lang w:val="en"/>
        </w:rPr>
        <w:t>J Am Acad Dermatol</w:t>
      </w:r>
      <w:r w:rsidRPr="00E87710">
        <w:rPr>
          <w:rFonts w:ascii="Arial" w:eastAsia="Times New Roman" w:hAnsi="Arial" w:cs="Arial"/>
          <w:sz w:val="20"/>
          <w:szCs w:val="20"/>
          <w:lang w:val="en"/>
        </w:rPr>
        <w:t>. 2003;48(5):721-726.</w:t>
      </w:r>
      <w:bookmarkStart w:id="23" w:name="R40600"/>
      <w:bookmarkEnd w:id="22"/>
    </w:p>
    <w:p w14:paraId="463CCF36" w14:textId="77777777" w:rsidR="00E87710" w:rsidRPr="00E87710" w:rsidRDefault="00FB191C" w:rsidP="00E87710">
      <w:pPr>
        <w:pStyle w:val="ListParagraph"/>
        <w:numPr>
          <w:ilvl w:val="0"/>
          <w:numId w:val="18"/>
        </w:numPr>
        <w:spacing w:after="0" w:line="276" w:lineRule="auto"/>
        <w:jc w:val="both"/>
        <w:rPr>
          <w:rFonts w:ascii="Arial" w:hAnsi="Arial" w:cs="Arial"/>
          <w:sz w:val="20"/>
          <w:szCs w:val="20"/>
          <w:lang w:val="en"/>
        </w:rPr>
      </w:pPr>
      <w:r w:rsidRPr="00E87710">
        <w:rPr>
          <w:rFonts w:ascii="Arial" w:eastAsia="Times New Roman" w:hAnsi="Arial" w:cs="Arial"/>
          <w:sz w:val="20"/>
          <w:szCs w:val="20"/>
          <w:lang w:val="en"/>
        </w:rPr>
        <w:t>NCCN clinical practice guidelines in oncology (NCCN Guidelines®) squamous cell skin cancer. 2018 11/08/2018.</w:t>
      </w:r>
      <w:bookmarkStart w:id="24" w:name="R40601"/>
      <w:bookmarkEnd w:id="23"/>
    </w:p>
    <w:p w14:paraId="1E241ADA" w14:textId="77777777" w:rsidR="00E87710" w:rsidRPr="00E87710" w:rsidRDefault="00FB191C" w:rsidP="00E87710">
      <w:pPr>
        <w:pStyle w:val="ListParagraph"/>
        <w:numPr>
          <w:ilvl w:val="0"/>
          <w:numId w:val="18"/>
        </w:numPr>
        <w:spacing w:after="0" w:line="276" w:lineRule="auto"/>
        <w:jc w:val="both"/>
        <w:rPr>
          <w:rFonts w:ascii="Arial" w:hAnsi="Arial" w:cs="Arial"/>
          <w:sz w:val="20"/>
          <w:szCs w:val="20"/>
          <w:lang w:val="en"/>
        </w:rPr>
      </w:pPr>
      <w:r w:rsidRPr="00E87710">
        <w:rPr>
          <w:rFonts w:ascii="Arial" w:eastAsia="Times New Roman" w:hAnsi="Arial" w:cs="Arial"/>
          <w:sz w:val="20"/>
          <w:szCs w:val="20"/>
          <w:lang w:val="en"/>
        </w:rPr>
        <w:lastRenderedPageBreak/>
        <w:t xml:space="preserve">Brodland DG, Zitelli JA. Surgical margins for excision of primary cutaneous squamous cell carcinoma. </w:t>
      </w:r>
      <w:r w:rsidRPr="00E87710">
        <w:rPr>
          <w:rStyle w:val="Emphasis"/>
          <w:rFonts w:ascii="Arial" w:eastAsia="Times New Roman" w:hAnsi="Arial" w:cs="Arial"/>
          <w:sz w:val="20"/>
          <w:szCs w:val="20"/>
          <w:lang w:val="en"/>
        </w:rPr>
        <w:t>Journal of American Academic Dermatology</w:t>
      </w:r>
      <w:r w:rsidRPr="00E87710">
        <w:rPr>
          <w:rFonts w:ascii="Arial" w:eastAsia="Times New Roman" w:hAnsi="Arial" w:cs="Arial"/>
          <w:sz w:val="20"/>
          <w:szCs w:val="20"/>
          <w:lang w:val="en"/>
        </w:rPr>
        <w:t>. 1992;27(2 Pt 1):241–248.</w:t>
      </w:r>
      <w:bookmarkStart w:id="25" w:name="R40602"/>
      <w:bookmarkEnd w:id="24"/>
    </w:p>
    <w:p w14:paraId="3D298FFC" w14:textId="77777777" w:rsidR="00E87710" w:rsidRPr="00E87710" w:rsidRDefault="00FB191C" w:rsidP="00E87710">
      <w:pPr>
        <w:pStyle w:val="ListParagraph"/>
        <w:numPr>
          <w:ilvl w:val="0"/>
          <w:numId w:val="18"/>
        </w:numPr>
        <w:spacing w:after="0" w:line="276" w:lineRule="auto"/>
        <w:jc w:val="both"/>
        <w:rPr>
          <w:rFonts w:ascii="Arial" w:hAnsi="Arial" w:cs="Arial"/>
          <w:sz w:val="20"/>
          <w:szCs w:val="20"/>
          <w:lang w:val="en"/>
        </w:rPr>
      </w:pPr>
      <w:r w:rsidRPr="00E87710">
        <w:rPr>
          <w:rFonts w:ascii="Arial" w:eastAsia="Times New Roman" w:hAnsi="Arial" w:cs="Arial"/>
          <w:sz w:val="20"/>
          <w:szCs w:val="20"/>
          <w:lang w:val="en"/>
        </w:rPr>
        <w:t xml:space="preserve">Phillips TJ, Harris BN, Moore MG, Farwell DG, Bewley AF. Pathological margins and advanced cutaneous squamous cell carcinoma of the head and neck. </w:t>
      </w:r>
      <w:r w:rsidRPr="00E87710">
        <w:rPr>
          <w:rStyle w:val="Emphasis"/>
          <w:rFonts w:ascii="Arial" w:eastAsia="Times New Roman" w:hAnsi="Arial" w:cs="Arial"/>
          <w:sz w:val="20"/>
          <w:szCs w:val="20"/>
          <w:lang w:val="en"/>
        </w:rPr>
        <w:t>J Otolaryngol Head Neck Surg</w:t>
      </w:r>
      <w:r w:rsidRPr="00E87710">
        <w:rPr>
          <w:rFonts w:ascii="Arial" w:eastAsia="Times New Roman" w:hAnsi="Arial" w:cs="Arial"/>
          <w:sz w:val="20"/>
          <w:szCs w:val="20"/>
          <w:lang w:val="en"/>
        </w:rPr>
        <w:t>. 2019 Oct 25;48(1):55.</w:t>
      </w:r>
      <w:bookmarkStart w:id="26" w:name="N9538"/>
      <w:bookmarkEnd w:id="25"/>
    </w:p>
    <w:p w14:paraId="1B7E7C07" w14:textId="77777777" w:rsidR="00E87710" w:rsidRDefault="00E87710" w:rsidP="00E87710">
      <w:pPr>
        <w:spacing w:after="0" w:line="276" w:lineRule="auto"/>
        <w:jc w:val="both"/>
        <w:rPr>
          <w:rFonts w:ascii="Arial" w:eastAsia="Times New Roman" w:hAnsi="Arial" w:cs="Arial"/>
          <w:b/>
          <w:bCs/>
          <w:sz w:val="20"/>
          <w:szCs w:val="20"/>
          <w:lang w:val="en"/>
        </w:rPr>
      </w:pPr>
    </w:p>
    <w:p w14:paraId="0EC97ED5" w14:textId="77777777" w:rsidR="00E87710" w:rsidRDefault="00FB191C" w:rsidP="00E87710">
      <w:pPr>
        <w:spacing w:after="0" w:line="276" w:lineRule="auto"/>
        <w:jc w:val="both"/>
        <w:rPr>
          <w:rFonts w:ascii="Arial" w:eastAsia="Times New Roman" w:hAnsi="Arial" w:cs="Arial"/>
          <w:b/>
          <w:bCs/>
          <w:sz w:val="20"/>
          <w:szCs w:val="20"/>
          <w:lang w:val="en"/>
        </w:rPr>
      </w:pPr>
      <w:r w:rsidRPr="00E87710">
        <w:rPr>
          <w:rFonts w:ascii="Arial" w:eastAsia="Times New Roman" w:hAnsi="Arial" w:cs="Arial"/>
          <w:b/>
          <w:bCs/>
          <w:sz w:val="20"/>
          <w:szCs w:val="20"/>
          <w:lang w:val="en"/>
        </w:rPr>
        <w:t>G. Lymph Nodes</w:t>
      </w:r>
      <w:bookmarkEnd w:id="26"/>
    </w:p>
    <w:p w14:paraId="55B155D4" w14:textId="77777777"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Lymph node status, specifically size, number and extranodal extension have been noted to represent adverse prognosticators.</w:t>
      </w:r>
      <w:hyperlink w:anchor="R40604" w:tooltip="Amit M, Liu C, Gleber-Netto FO, Kini S, Tam S, Benov A, Aashiq M, El-Naggar AK, Moreno AC, Rosenthal DI, Glisson BS, Ferrarotto R, Wong MK, Migden MR, Baruch EN, Li G, Khanna A, Goepfert RP, Nagarajan P, Weber RS, Myers JN, Gross ND.Inclusion of extranodal ext" w:history="1">
        <w:r w:rsidRPr="0077122A">
          <w:rPr>
            <w:rStyle w:val="Hyperlink"/>
            <w:rFonts w:ascii="Arial" w:hAnsi="Arial" w:cs="Arial"/>
            <w:sz w:val="20"/>
            <w:szCs w:val="20"/>
            <w:vertAlign w:val="superscript"/>
            <w:lang w:val="en"/>
          </w:rPr>
          <w:t>1,</w:t>
        </w:r>
      </w:hyperlink>
      <w:hyperlink w:anchor="R40606" w:tooltip="Varra V, Woody NM, Reddy C, Joshi NP, Geiger J, Adelstein DJ, Burkey BB, Scharpf J, Prendes B, Lamarre ED, Lorenz R, Gastman B, Manyam BV, Koyfman SA.Suboptimal Outcomes in Cutaneous Squamous Cell Cancer of the Head and Neck with Nodal Metastases. Anticancer R" w:history="1">
        <w:r w:rsidRPr="0077122A">
          <w:rPr>
            <w:rStyle w:val="Hyperlink"/>
            <w:rFonts w:ascii="Arial" w:hAnsi="Arial" w:cs="Arial"/>
            <w:sz w:val="20"/>
            <w:szCs w:val="20"/>
            <w:vertAlign w:val="superscript"/>
            <w:lang w:val="en"/>
          </w:rPr>
          <w:t>2</w:t>
        </w:r>
      </w:hyperlink>
      <w:r w:rsidRPr="0077122A">
        <w:rPr>
          <w:rFonts w:ascii="Arial" w:hAnsi="Arial" w:cs="Arial"/>
          <w:sz w:val="20"/>
          <w:szCs w:val="20"/>
          <w:lang w:val="en"/>
        </w:rPr>
        <w:t> As such they have been incorporated into AJCC N categorization in a fashion similar to that of human papillomavirus (HPV) unrelated mucosal HNSCC.  But while these parameters are impactful, the actual performance of this adaptation of mucosal HNSCC N classification system cutaneous HNSCC has been shown to be suboptimal.</w:t>
      </w:r>
      <w:hyperlink w:anchor="R40607" w:tooltip="Luk PP, Ebrahimi A, Veness MJ, McDowell L, Magarey M, Gao K, Palme CE, Clark JR, Gupta R.Prognostic value of the 8th edition American Joint Commission Cancer nodal staging system for patients with head and neck cutaneous squamous cell carcinoma: A multi-instit" w:history="1">
        <w:r w:rsidRPr="0077122A">
          <w:rPr>
            <w:rStyle w:val="Hyperlink"/>
            <w:rFonts w:ascii="Arial" w:hAnsi="Arial" w:cs="Arial"/>
            <w:sz w:val="20"/>
            <w:szCs w:val="20"/>
            <w:vertAlign w:val="superscript"/>
            <w:lang w:val="en"/>
          </w:rPr>
          <w:t>3,</w:t>
        </w:r>
      </w:hyperlink>
      <w:hyperlink w:anchor="R40608" w:tooltip="Watts F, Palme CE, Porceddu S, Sundaresan P, Clark JR, Gupta R.Clinician perspectives on the factors influencing prognostic stratification by the American Joint Commission on Cancer Head and Neck Cutaneous Squamous Cell Carcinoma Staging. Surgery. 2021 Nov;170" w:history="1">
        <w:r w:rsidRPr="0077122A">
          <w:rPr>
            <w:rStyle w:val="Hyperlink"/>
            <w:rFonts w:ascii="Arial" w:hAnsi="Arial" w:cs="Arial"/>
            <w:sz w:val="20"/>
            <w:szCs w:val="20"/>
            <w:vertAlign w:val="superscript"/>
            <w:lang w:val="en"/>
          </w:rPr>
          <w:t>4</w:t>
        </w:r>
      </w:hyperlink>
    </w:p>
    <w:p w14:paraId="39AE3C67" w14:textId="77777777" w:rsidR="00E87710" w:rsidRDefault="00E87710" w:rsidP="00E87710">
      <w:pPr>
        <w:spacing w:after="0" w:line="276" w:lineRule="auto"/>
        <w:jc w:val="both"/>
        <w:rPr>
          <w:rFonts w:ascii="Arial" w:hAnsi="Arial" w:cs="Arial"/>
          <w:sz w:val="20"/>
          <w:szCs w:val="20"/>
          <w:lang w:val="en"/>
        </w:rPr>
      </w:pPr>
    </w:p>
    <w:p w14:paraId="2EEC0DBD" w14:textId="77777777" w:rsidR="00E87710" w:rsidRDefault="00FB191C" w:rsidP="00E87710">
      <w:pPr>
        <w:spacing w:after="0" w:line="276" w:lineRule="auto"/>
        <w:jc w:val="both"/>
        <w:rPr>
          <w:rFonts w:ascii="Arial" w:hAnsi="Arial" w:cs="Arial"/>
          <w:sz w:val="20"/>
          <w:szCs w:val="20"/>
          <w:lang w:val="en"/>
        </w:rPr>
      </w:pPr>
      <w:r w:rsidRPr="0077122A">
        <w:rPr>
          <w:rFonts w:ascii="Arial" w:eastAsia="Times New Roman" w:hAnsi="Arial" w:cs="Arial"/>
          <w:sz w:val="20"/>
          <w:szCs w:val="20"/>
          <w:lang w:val="en"/>
        </w:rPr>
        <w:t>References</w:t>
      </w:r>
      <w:bookmarkStart w:id="27" w:name="R40604"/>
    </w:p>
    <w:p w14:paraId="1F33CC9F" w14:textId="77777777" w:rsidR="00E87710" w:rsidRPr="00E87710" w:rsidRDefault="00FB191C" w:rsidP="00E87710">
      <w:pPr>
        <w:pStyle w:val="ListParagraph"/>
        <w:numPr>
          <w:ilvl w:val="0"/>
          <w:numId w:val="19"/>
        </w:numPr>
        <w:spacing w:after="0" w:line="276" w:lineRule="auto"/>
        <w:jc w:val="both"/>
        <w:rPr>
          <w:rFonts w:ascii="Arial" w:hAnsi="Arial" w:cs="Arial"/>
          <w:sz w:val="20"/>
          <w:szCs w:val="20"/>
          <w:lang w:val="en"/>
        </w:rPr>
      </w:pPr>
      <w:r w:rsidRPr="00E87710">
        <w:rPr>
          <w:rFonts w:ascii="Arial" w:eastAsia="Times New Roman" w:hAnsi="Arial" w:cs="Arial"/>
          <w:sz w:val="20"/>
          <w:szCs w:val="20"/>
          <w:lang w:val="en"/>
        </w:rPr>
        <w:t xml:space="preserve">Amit M, Liu C, Gleber-Netto FO, Kini S, Tam S, Benov A, Aashiq M, El-Naggar AK, Moreno AC, Rosenthal DI, Glisson BS, Ferrarotto R, Wong MK, Migden MR, Baruch EN, Li G, Khanna A, Goepfert RP, Nagarajan P, Weber RS, Myers JN, Gross ND.Inclusion of extranodal extension in the lymph node classification of cutaneous squamous cell carcinoma of the head and neck. </w:t>
      </w:r>
      <w:r w:rsidRPr="00E87710">
        <w:rPr>
          <w:rStyle w:val="Emphasis"/>
          <w:rFonts w:ascii="Arial" w:eastAsia="Times New Roman" w:hAnsi="Arial" w:cs="Arial"/>
          <w:sz w:val="20"/>
          <w:szCs w:val="20"/>
          <w:lang w:val="en"/>
        </w:rPr>
        <w:t>Cancer</w:t>
      </w:r>
      <w:r w:rsidRPr="00E87710">
        <w:rPr>
          <w:rFonts w:ascii="Arial" w:eastAsia="Times New Roman" w:hAnsi="Arial" w:cs="Arial"/>
          <w:sz w:val="20"/>
          <w:szCs w:val="20"/>
          <w:lang w:val="en"/>
        </w:rPr>
        <w:t>. 2021 Apr 15;127(8):1238-1245.</w:t>
      </w:r>
      <w:bookmarkStart w:id="28" w:name="R40606"/>
      <w:bookmarkEnd w:id="27"/>
    </w:p>
    <w:p w14:paraId="4A3D6E6B" w14:textId="77777777" w:rsidR="00E87710" w:rsidRPr="00E87710" w:rsidRDefault="00FB191C" w:rsidP="00E87710">
      <w:pPr>
        <w:pStyle w:val="ListParagraph"/>
        <w:numPr>
          <w:ilvl w:val="0"/>
          <w:numId w:val="19"/>
        </w:numPr>
        <w:spacing w:after="0" w:line="276" w:lineRule="auto"/>
        <w:jc w:val="both"/>
        <w:rPr>
          <w:rFonts w:ascii="Arial" w:hAnsi="Arial" w:cs="Arial"/>
          <w:sz w:val="20"/>
          <w:szCs w:val="20"/>
          <w:lang w:val="en"/>
        </w:rPr>
      </w:pPr>
      <w:r w:rsidRPr="00E87710">
        <w:rPr>
          <w:rFonts w:ascii="Arial" w:eastAsia="Times New Roman" w:hAnsi="Arial" w:cs="Arial"/>
          <w:sz w:val="20"/>
          <w:szCs w:val="20"/>
          <w:lang w:val="en"/>
        </w:rPr>
        <w:t xml:space="preserve">Varra V, Woody NM, Reddy C, Joshi NP, Geiger J, Adelstein DJ, Burkey BB, Scharpf J, Prendes B, Lamarre ED, Lorenz R, Gastman B, Manyam BV, Koyfman SA.Suboptimal Outcomes in Cutaneous Squamous Cell Cancer of the Head and Neck with Nodal Metastases. </w:t>
      </w:r>
      <w:r w:rsidRPr="00E87710">
        <w:rPr>
          <w:rStyle w:val="Emphasis"/>
          <w:rFonts w:ascii="Arial" w:eastAsia="Times New Roman" w:hAnsi="Arial" w:cs="Arial"/>
          <w:sz w:val="20"/>
          <w:szCs w:val="20"/>
          <w:lang w:val="en"/>
        </w:rPr>
        <w:t>Anticancer Res.</w:t>
      </w:r>
      <w:r w:rsidRPr="00E87710">
        <w:rPr>
          <w:rFonts w:ascii="Arial" w:eastAsia="Times New Roman" w:hAnsi="Arial" w:cs="Arial"/>
          <w:sz w:val="20"/>
          <w:szCs w:val="20"/>
          <w:lang w:val="en"/>
        </w:rPr>
        <w:t xml:space="preserve"> 2018 Oct;38(10):5825-5830.</w:t>
      </w:r>
      <w:bookmarkStart w:id="29" w:name="R40607"/>
      <w:bookmarkEnd w:id="28"/>
    </w:p>
    <w:p w14:paraId="6A0B750D" w14:textId="77777777" w:rsidR="00E87710" w:rsidRPr="00E87710" w:rsidRDefault="00FB191C" w:rsidP="00E87710">
      <w:pPr>
        <w:pStyle w:val="ListParagraph"/>
        <w:numPr>
          <w:ilvl w:val="0"/>
          <w:numId w:val="19"/>
        </w:numPr>
        <w:spacing w:after="0" w:line="276" w:lineRule="auto"/>
        <w:jc w:val="both"/>
        <w:rPr>
          <w:rFonts w:ascii="Arial" w:hAnsi="Arial" w:cs="Arial"/>
          <w:sz w:val="20"/>
          <w:szCs w:val="20"/>
          <w:lang w:val="en"/>
        </w:rPr>
      </w:pPr>
      <w:r w:rsidRPr="00E87710">
        <w:rPr>
          <w:rFonts w:ascii="Arial" w:eastAsia="Times New Roman" w:hAnsi="Arial" w:cs="Arial"/>
          <w:sz w:val="20"/>
          <w:szCs w:val="20"/>
          <w:lang w:val="en"/>
        </w:rPr>
        <w:t>Luk PP, Ebrahimi A, Veness MJ, McDowell L, Magarey M, Gao K, Palme CE, Clark JR, Gupta R.Prognostic value of the 8th edition American Joint Commission Cancer nodal staging system for patients with head and neck cutaneous squamous cell carcinoma: A multi-institutional study. </w:t>
      </w:r>
      <w:r w:rsidRPr="00E87710">
        <w:rPr>
          <w:rStyle w:val="Emphasis"/>
          <w:rFonts w:ascii="Arial" w:eastAsia="Times New Roman" w:hAnsi="Arial" w:cs="Arial"/>
          <w:sz w:val="20"/>
          <w:szCs w:val="20"/>
          <w:lang w:val="en"/>
        </w:rPr>
        <w:t>Head Neck</w:t>
      </w:r>
      <w:r w:rsidRPr="00E87710">
        <w:rPr>
          <w:rFonts w:ascii="Arial" w:eastAsia="Times New Roman" w:hAnsi="Arial" w:cs="Arial"/>
          <w:sz w:val="20"/>
          <w:szCs w:val="20"/>
          <w:lang w:val="en"/>
        </w:rPr>
        <w:t>. 2021 Feb;43(2):558-567.</w:t>
      </w:r>
      <w:bookmarkStart w:id="30" w:name="R40608"/>
      <w:bookmarkEnd w:id="29"/>
    </w:p>
    <w:p w14:paraId="1134E829" w14:textId="77777777" w:rsidR="00E87710" w:rsidRPr="00E87710" w:rsidRDefault="00FB191C" w:rsidP="00E87710">
      <w:pPr>
        <w:pStyle w:val="ListParagraph"/>
        <w:numPr>
          <w:ilvl w:val="0"/>
          <w:numId w:val="19"/>
        </w:numPr>
        <w:spacing w:after="0" w:line="276" w:lineRule="auto"/>
        <w:jc w:val="both"/>
        <w:rPr>
          <w:rFonts w:ascii="Arial" w:hAnsi="Arial" w:cs="Arial"/>
          <w:sz w:val="20"/>
          <w:szCs w:val="20"/>
          <w:lang w:val="en"/>
        </w:rPr>
      </w:pPr>
      <w:r w:rsidRPr="00E87710">
        <w:rPr>
          <w:rFonts w:ascii="Arial" w:eastAsia="Times New Roman" w:hAnsi="Arial" w:cs="Arial"/>
          <w:sz w:val="20"/>
          <w:szCs w:val="20"/>
          <w:lang w:val="en"/>
        </w:rPr>
        <w:t xml:space="preserve">Watts F, Palme CE, Porceddu S, Sundaresan P, Clark JR, Gupta R.Clinician perspectives on the factors influencing prognostic stratification by the American Joint Commission on Cancer Head and Neck Cutaneous Squamous Cell Carcinoma Staging. </w:t>
      </w:r>
      <w:r w:rsidRPr="00E87710">
        <w:rPr>
          <w:rStyle w:val="Emphasis"/>
          <w:rFonts w:ascii="Arial" w:eastAsia="Times New Roman" w:hAnsi="Arial" w:cs="Arial"/>
          <w:sz w:val="20"/>
          <w:szCs w:val="20"/>
          <w:lang w:val="en"/>
        </w:rPr>
        <w:t>Surgery.</w:t>
      </w:r>
      <w:r w:rsidRPr="00E87710">
        <w:rPr>
          <w:rFonts w:ascii="Arial" w:eastAsia="Times New Roman" w:hAnsi="Arial" w:cs="Arial"/>
          <w:sz w:val="20"/>
          <w:szCs w:val="20"/>
          <w:lang w:val="en"/>
        </w:rPr>
        <w:t xml:space="preserve"> 2021 Nov;170(5):1467-1473. doi: 10.1016/j.surg.2021.04.019. Epub 2021 Jun 12.</w:t>
      </w:r>
      <w:bookmarkStart w:id="31" w:name="N9539"/>
      <w:bookmarkEnd w:id="30"/>
    </w:p>
    <w:p w14:paraId="2D07E802" w14:textId="77777777" w:rsidR="00E87710" w:rsidRDefault="00E87710" w:rsidP="00E87710">
      <w:pPr>
        <w:spacing w:after="0" w:line="276" w:lineRule="auto"/>
        <w:jc w:val="both"/>
        <w:rPr>
          <w:rFonts w:ascii="Arial" w:eastAsia="Times New Roman" w:hAnsi="Arial" w:cs="Arial"/>
          <w:b/>
          <w:bCs/>
          <w:sz w:val="20"/>
          <w:szCs w:val="20"/>
          <w:lang w:val="en"/>
        </w:rPr>
      </w:pPr>
    </w:p>
    <w:p w14:paraId="63511148" w14:textId="77777777" w:rsidR="00E87710" w:rsidRDefault="00FB191C" w:rsidP="00E87710">
      <w:pPr>
        <w:spacing w:after="0" w:line="276" w:lineRule="auto"/>
        <w:jc w:val="both"/>
        <w:rPr>
          <w:rFonts w:ascii="Arial" w:eastAsia="Times New Roman" w:hAnsi="Arial" w:cs="Arial"/>
          <w:b/>
          <w:bCs/>
          <w:sz w:val="20"/>
          <w:szCs w:val="20"/>
          <w:lang w:val="en"/>
        </w:rPr>
      </w:pPr>
      <w:r w:rsidRPr="00E87710">
        <w:rPr>
          <w:rFonts w:ascii="Arial" w:eastAsia="Times New Roman" w:hAnsi="Arial" w:cs="Arial"/>
          <w:b/>
          <w:bCs/>
          <w:sz w:val="20"/>
          <w:szCs w:val="20"/>
          <w:lang w:val="en"/>
        </w:rPr>
        <w:t>H. TNM and Stage Groupings</w:t>
      </w:r>
      <w:bookmarkEnd w:id="31"/>
    </w:p>
    <w:p w14:paraId="2357A52D" w14:textId="48B364A6"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The TNM staging system for cutaneous squamous cell carcinoma of the head and neck of the American Joint Committee on Cancer (AJCC) is recommended</w:t>
      </w:r>
      <w:r w:rsidR="002F4A04">
        <w:rPr>
          <w:rFonts w:ascii="Arial" w:hAnsi="Arial" w:cs="Arial"/>
          <w:sz w:val="20"/>
          <w:szCs w:val="20"/>
          <w:lang w:val="en"/>
        </w:rPr>
        <w:t>.</w:t>
      </w:r>
      <w:hyperlink w:anchor="R40609" w:tooltip="Amin MB, Edge SB, Greene FL, et al, eds. AJCC Cancer Staging Manual. 8th ed. New York, NY: Springer; 2017." w:history="1">
        <w:r w:rsidRPr="0077122A">
          <w:rPr>
            <w:rStyle w:val="Hyperlink"/>
            <w:rFonts w:ascii="Arial" w:hAnsi="Arial" w:cs="Arial"/>
            <w:sz w:val="20"/>
            <w:szCs w:val="20"/>
            <w:vertAlign w:val="superscript"/>
            <w:lang w:val="en"/>
          </w:rPr>
          <w:t>1</w:t>
        </w:r>
      </w:hyperlink>
      <w:r w:rsidRPr="0077122A">
        <w:rPr>
          <w:rFonts w:ascii="Arial" w:hAnsi="Arial" w:cs="Arial"/>
          <w:sz w:val="20"/>
          <w:szCs w:val="20"/>
          <w:lang w:val="en"/>
        </w:rPr>
        <w:t>  By AJCC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65E01096" w14:textId="77777777" w:rsidR="00E87710" w:rsidRDefault="00E87710" w:rsidP="00E87710">
      <w:pPr>
        <w:spacing w:after="0" w:line="276" w:lineRule="auto"/>
        <w:jc w:val="both"/>
        <w:rPr>
          <w:rFonts w:ascii="Arial" w:hAnsi="Arial" w:cs="Arial"/>
          <w:sz w:val="20"/>
          <w:szCs w:val="20"/>
          <w:lang w:val="en"/>
        </w:rPr>
      </w:pPr>
    </w:p>
    <w:p w14:paraId="4A7DB648" w14:textId="77777777"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 xml:space="preserve">Pathologic staging is usually performed after surgical resection of the primary tumor and depends on pathologic documentation of the anatomic extent of disease, whether or not the primary tumor has been completely removed. If a biopsied tumor cannot be resected for any reason and if the highest T and N </w:t>
      </w:r>
      <w:r w:rsidRPr="0077122A">
        <w:rPr>
          <w:rFonts w:ascii="Arial" w:hAnsi="Arial" w:cs="Arial"/>
          <w:sz w:val="20"/>
          <w:szCs w:val="20"/>
          <w:lang w:val="en"/>
        </w:rPr>
        <w:lastRenderedPageBreak/>
        <w:t>categories or the M1 category of the tumor can be confirmed microscopically, the criteria for pathologic classification and staging have been satisfied without total removal of the primary cancer. </w:t>
      </w:r>
    </w:p>
    <w:p w14:paraId="09B154F6" w14:textId="77777777" w:rsidR="00E87710" w:rsidRDefault="00E87710" w:rsidP="00E87710">
      <w:pPr>
        <w:spacing w:after="0" w:line="276" w:lineRule="auto"/>
        <w:jc w:val="both"/>
        <w:rPr>
          <w:rFonts w:ascii="Arial" w:hAnsi="Arial" w:cs="Arial"/>
          <w:sz w:val="20"/>
          <w:szCs w:val="20"/>
          <w:lang w:val="en"/>
        </w:rPr>
      </w:pPr>
    </w:p>
    <w:p w14:paraId="03007D50" w14:textId="77777777"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u w:val="single"/>
          <w:lang w:val="en"/>
        </w:rPr>
        <w:t>T Category Considerations</w:t>
      </w:r>
    </w:p>
    <w:p w14:paraId="6E7F73D5" w14:textId="77777777"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High-Risk Features for Primary (T) Tumor Staging</w:t>
      </w:r>
      <w:hyperlink w:anchor="R40609" w:tooltip="Amin MB, Edge SB, Greene FL, et al, eds. AJCC Cancer Staging Manual. 8th ed. New York, NY: Springer; 2017." w:history="1">
        <w:r w:rsidRPr="0077122A">
          <w:rPr>
            <w:rFonts w:ascii="Arial" w:hAnsi="Arial" w:cs="Arial"/>
            <w:color w:val="0000FF"/>
            <w:sz w:val="20"/>
            <w:szCs w:val="20"/>
            <w:u w:val="single"/>
            <w:vertAlign w:val="superscript"/>
            <w:lang w:val="en"/>
          </w:rPr>
          <w:t>1</w:t>
        </w:r>
      </w:hyperlink>
    </w:p>
    <w:p w14:paraId="49831027" w14:textId="77777777" w:rsidR="00E87710" w:rsidRDefault="00E87710" w:rsidP="00E87710">
      <w:pPr>
        <w:spacing w:after="0" w:line="276" w:lineRule="auto"/>
        <w:jc w:val="both"/>
        <w:rPr>
          <w:rFonts w:ascii="Arial" w:hAnsi="Arial" w:cs="Arial"/>
          <w:sz w:val="20"/>
          <w:szCs w:val="20"/>
          <w:lang w:val="en"/>
        </w:rPr>
      </w:pPr>
    </w:p>
    <w:p w14:paraId="3A8232DE" w14:textId="77777777"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Deep invasion: Invasion beyond the subcutaneous fat or &gt;6 mm in depth.</w:t>
      </w:r>
    </w:p>
    <w:p w14:paraId="31972827" w14:textId="77777777" w:rsidR="00E87710" w:rsidRDefault="00E87710" w:rsidP="00E87710">
      <w:pPr>
        <w:spacing w:after="0" w:line="276" w:lineRule="auto"/>
        <w:jc w:val="both"/>
        <w:rPr>
          <w:rFonts w:ascii="Arial" w:hAnsi="Arial" w:cs="Arial"/>
          <w:sz w:val="20"/>
          <w:szCs w:val="20"/>
          <w:lang w:val="en"/>
        </w:rPr>
      </w:pPr>
    </w:p>
    <w:p w14:paraId="7F73E8A5" w14:textId="77777777"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Perineural invasion for T3 classification: Tumor cells within the nerve sheath of a nerve lying deeper than the dermis or measuring 0.1 mm or larger in caliber, or presenting with clinical or radiographic involvement of named nerves without skull base invasion or transgression.</w:t>
      </w:r>
    </w:p>
    <w:p w14:paraId="4D41BC0C" w14:textId="77777777" w:rsidR="00E87710" w:rsidRDefault="00E87710" w:rsidP="00E87710">
      <w:pPr>
        <w:spacing w:after="0" w:line="276" w:lineRule="auto"/>
        <w:jc w:val="both"/>
        <w:rPr>
          <w:rFonts w:ascii="Arial" w:hAnsi="Arial" w:cs="Arial"/>
          <w:sz w:val="20"/>
          <w:szCs w:val="20"/>
          <w:lang w:val="en"/>
        </w:rPr>
      </w:pPr>
    </w:p>
    <w:p w14:paraId="252D71BC" w14:textId="77777777"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u w:val="single"/>
          <w:lang w:val="en"/>
        </w:rPr>
        <w:t>TNM Descriptors</w:t>
      </w:r>
    </w:p>
    <w:p w14:paraId="73D097CC" w14:textId="77777777"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For identification of special cases of TNM or pTNM classifications, the “m” suffix and “y,” “r,” and “a” prefixes are used. Although they do not affect the stage grouping, they indicate cases needing separate analysis.</w:t>
      </w:r>
    </w:p>
    <w:p w14:paraId="0484D9BC" w14:textId="77777777" w:rsidR="00E87710" w:rsidRDefault="00E87710" w:rsidP="00E87710">
      <w:pPr>
        <w:spacing w:after="0" w:line="276" w:lineRule="auto"/>
        <w:jc w:val="both"/>
        <w:rPr>
          <w:rFonts w:ascii="Arial" w:hAnsi="Arial" w:cs="Arial"/>
          <w:sz w:val="20"/>
          <w:szCs w:val="20"/>
          <w:lang w:val="en"/>
        </w:rPr>
      </w:pPr>
    </w:p>
    <w:p w14:paraId="568C50DB" w14:textId="77777777"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The “m” suffix indicates the presence of multiple primary tumors in a single site and is recorded in parentheses: pT(m)NM.</w:t>
      </w:r>
    </w:p>
    <w:p w14:paraId="7D9DA63B" w14:textId="77777777" w:rsidR="00E87710" w:rsidRDefault="00E87710" w:rsidP="00E87710">
      <w:pPr>
        <w:spacing w:after="0" w:line="276" w:lineRule="auto"/>
        <w:jc w:val="both"/>
        <w:rPr>
          <w:rFonts w:ascii="Arial" w:hAnsi="Arial" w:cs="Arial"/>
          <w:sz w:val="20"/>
          <w:szCs w:val="20"/>
          <w:lang w:val="en"/>
        </w:rPr>
      </w:pPr>
    </w:p>
    <w:p w14:paraId="12A6EC1E" w14:textId="39F9C2B7"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The “y” prefix indicates those cases in which classification is performed during or following initial multimodality therapy (i</w:t>
      </w:r>
      <w:r w:rsidR="00026C2A">
        <w:rPr>
          <w:rFonts w:ascii="Arial" w:hAnsi="Arial" w:cs="Arial"/>
          <w:sz w:val="20"/>
          <w:szCs w:val="20"/>
          <w:lang w:val="en"/>
        </w:rPr>
        <w:t>.</w:t>
      </w:r>
      <w:r w:rsidRPr="0077122A">
        <w:rPr>
          <w:rFonts w:ascii="Arial" w:hAnsi="Arial" w:cs="Arial"/>
          <w:sz w:val="20"/>
          <w:szCs w:val="20"/>
          <w:lang w:val="en"/>
        </w:rPr>
        <w:t>e</w:t>
      </w:r>
      <w:r w:rsidR="00026C2A">
        <w:rPr>
          <w:rFonts w:ascii="Arial" w:hAnsi="Arial" w:cs="Arial"/>
          <w:sz w:val="20"/>
          <w:szCs w:val="20"/>
          <w:lang w:val="en"/>
        </w:rPr>
        <w:t>.</w:t>
      </w:r>
      <w:r w:rsidRPr="0077122A">
        <w:rPr>
          <w:rFonts w:ascii="Arial" w:hAnsi="Arial" w:cs="Arial"/>
          <w:sz w:val="20"/>
          <w:szCs w:val="20"/>
          <w:lang w:val="en"/>
        </w:rPr>
        <w:t>, neoadjuvant chemotherapy, radiation therapy, or both chemotherapy and radiation therapy). The cTNM or pTNM category is identified by a “y” prefix. The ycTNM or ypTNM categorizes the extent of tumor actually present at the time of that examination.</w:t>
      </w:r>
    </w:p>
    <w:p w14:paraId="74425CD6" w14:textId="77777777" w:rsidR="00E87710" w:rsidRDefault="00E87710" w:rsidP="00E87710">
      <w:pPr>
        <w:spacing w:after="0" w:line="276" w:lineRule="auto"/>
        <w:jc w:val="both"/>
        <w:rPr>
          <w:rFonts w:ascii="Arial" w:hAnsi="Arial" w:cs="Arial"/>
          <w:sz w:val="20"/>
          <w:szCs w:val="20"/>
          <w:lang w:val="en"/>
        </w:rPr>
      </w:pPr>
    </w:p>
    <w:p w14:paraId="2117980F" w14:textId="17C89A1D"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The “y” categorization is not an estimate of tumor prior to multimodality therapy (i</w:t>
      </w:r>
      <w:r w:rsidR="00026C2A">
        <w:rPr>
          <w:rFonts w:ascii="Arial" w:hAnsi="Arial" w:cs="Arial"/>
          <w:sz w:val="20"/>
          <w:szCs w:val="20"/>
          <w:lang w:val="en"/>
        </w:rPr>
        <w:t>.</w:t>
      </w:r>
      <w:r w:rsidRPr="0077122A">
        <w:rPr>
          <w:rFonts w:ascii="Arial" w:hAnsi="Arial" w:cs="Arial"/>
          <w:sz w:val="20"/>
          <w:szCs w:val="20"/>
          <w:lang w:val="en"/>
        </w:rPr>
        <w:t>e</w:t>
      </w:r>
      <w:r w:rsidR="00026C2A">
        <w:rPr>
          <w:rFonts w:ascii="Arial" w:hAnsi="Arial" w:cs="Arial"/>
          <w:sz w:val="20"/>
          <w:szCs w:val="20"/>
          <w:lang w:val="en"/>
        </w:rPr>
        <w:t>.</w:t>
      </w:r>
      <w:r w:rsidRPr="0077122A">
        <w:rPr>
          <w:rFonts w:ascii="Arial" w:hAnsi="Arial" w:cs="Arial"/>
          <w:sz w:val="20"/>
          <w:szCs w:val="20"/>
          <w:lang w:val="en"/>
        </w:rPr>
        <w:t>, before initiation of neoadjuvant therapy).</w:t>
      </w:r>
    </w:p>
    <w:p w14:paraId="79B83031" w14:textId="77777777" w:rsidR="00E87710" w:rsidRDefault="00E87710" w:rsidP="00E87710">
      <w:pPr>
        <w:spacing w:after="0" w:line="276" w:lineRule="auto"/>
        <w:jc w:val="both"/>
        <w:rPr>
          <w:rFonts w:ascii="Arial" w:hAnsi="Arial" w:cs="Arial"/>
          <w:sz w:val="20"/>
          <w:szCs w:val="20"/>
          <w:lang w:val="en"/>
        </w:rPr>
      </w:pPr>
    </w:p>
    <w:p w14:paraId="7A2203F7" w14:textId="77777777"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The “r” prefix indicates a recurrent tumor when staged after a documented disease-free interval and is identified by the “r” prefix: rTNM.</w:t>
      </w:r>
    </w:p>
    <w:p w14:paraId="27BBC8EF" w14:textId="77777777" w:rsidR="00E87710" w:rsidRDefault="00E87710" w:rsidP="00E87710">
      <w:pPr>
        <w:spacing w:after="0" w:line="276" w:lineRule="auto"/>
        <w:jc w:val="both"/>
        <w:rPr>
          <w:rFonts w:ascii="Arial" w:hAnsi="Arial" w:cs="Arial"/>
          <w:sz w:val="20"/>
          <w:szCs w:val="20"/>
          <w:lang w:val="en"/>
        </w:rPr>
      </w:pPr>
    </w:p>
    <w:p w14:paraId="3EA77C3B" w14:textId="77777777"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The “a” prefix designates the stage determined at autopsy: aTNM.</w:t>
      </w:r>
    </w:p>
    <w:p w14:paraId="077BAA66" w14:textId="77777777" w:rsidR="00E87710" w:rsidRDefault="00E87710" w:rsidP="00E87710">
      <w:pPr>
        <w:spacing w:after="0" w:line="276" w:lineRule="auto"/>
        <w:jc w:val="both"/>
        <w:rPr>
          <w:rFonts w:ascii="Arial" w:hAnsi="Arial" w:cs="Arial"/>
          <w:sz w:val="20"/>
          <w:szCs w:val="20"/>
          <w:lang w:val="en"/>
        </w:rPr>
      </w:pPr>
    </w:p>
    <w:p w14:paraId="17E1FA40" w14:textId="77777777" w:rsidR="00E87710" w:rsidRDefault="00FB191C" w:rsidP="00E87710">
      <w:pPr>
        <w:spacing w:after="0" w:line="276" w:lineRule="auto"/>
        <w:jc w:val="both"/>
        <w:rPr>
          <w:rStyle w:val="Emphasis"/>
          <w:rFonts w:ascii="Arial" w:hAnsi="Arial" w:cs="Arial"/>
          <w:sz w:val="20"/>
          <w:szCs w:val="20"/>
          <w:lang w:val="en"/>
        </w:rPr>
      </w:pPr>
      <w:r w:rsidRPr="0077122A">
        <w:rPr>
          <w:rStyle w:val="Emphasis"/>
          <w:rFonts w:ascii="Arial" w:hAnsi="Arial" w:cs="Arial"/>
          <w:sz w:val="20"/>
          <w:szCs w:val="20"/>
          <w:lang w:val="en"/>
        </w:rPr>
        <w:t>Brigham and Women’s Hospital (BWH) Tumor Staging</w:t>
      </w:r>
    </w:p>
    <w:p w14:paraId="27A62849" w14:textId="1E4875A6" w:rsidR="00E87710" w:rsidRDefault="00FB191C" w:rsidP="00E87710">
      <w:pPr>
        <w:spacing w:after="0" w:line="276" w:lineRule="auto"/>
        <w:jc w:val="both"/>
        <w:rPr>
          <w:rFonts w:ascii="Arial" w:hAnsi="Arial" w:cs="Arial"/>
          <w:sz w:val="20"/>
          <w:szCs w:val="20"/>
          <w:lang w:val="en"/>
        </w:rPr>
      </w:pPr>
      <w:r w:rsidRPr="0077122A">
        <w:rPr>
          <w:rFonts w:ascii="Arial" w:hAnsi="Arial" w:cs="Arial"/>
          <w:sz w:val="20"/>
          <w:szCs w:val="20"/>
          <w:lang w:val="en"/>
        </w:rPr>
        <w:t>The Brigham and Women’s Hospital (BWH) system is an alternative tumor classification system. Prior analysis from a single institution cohort demonstrated that the BWH staging system offers improved distinctiveness, homogeneity, and monotonicity over AJCC 7.</w:t>
      </w:r>
      <w:hyperlink w:anchor="R40610" w:tooltip="Karia  PS, Jambusaria-Pahlajani  A, Harrington  DP, Murphy  GF, Qureshi  AA, Schmults  CD.  Evaluation of American Joint Committee on Cancer, International Union Against Cancer, and Brigham and Women’s Hospital tumor staging for cutaneous squamous cell carcino" w:history="1">
        <w:r w:rsidRPr="0077122A">
          <w:rPr>
            <w:rStyle w:val="Hyperlink"/>
            <w:rFonts w:ascii="Arial" w:hAnsi="Arial" w:cs="Arial"/>
            <w:sz w:val="20"/>
            <w:szCs w:val="20"/>
            <w:vertAlign w:val="superscript"/>
            <w:lang w:val="en"/>
          </w:rPr>
          <w:t>2</w:t>
        </w:r>
      </w:hyperlink>
      <w:r w:rsidRPr="0077122A">
        <w:rPr>
          <w:rFonts w:ascii="Arial" w:hAnsi="Arial" w:cs="Arial"/>
          <w:sz w:val="20"/>
          <w:szCs w:val="20"/>
          <w:lang w:val="en"/>
        </w:rPr>
        <w:t> Compared to AJCC 8, BWH had higher specificity and positive predictive value for identifying cases at risk for metastasis or death.</w:t>
      </w:r>
      <w:hyperlink w:anchor="R40611" w:tooltip="Ruiz ES, Karia PS, Besaw R, Schmults, CD.  Performance of the American Joint Committee on Cancer Staging Manual, 8th Edition vs the Brigham and Women’s Hospital Tumor Classification System for Cutaneous Squamous Cell Carcinoma. JAMA Dermatol. 2019;155(7):819-8" w:history="1">
        <w:r w:rsidRPr="0077122A">
          <w:rPr>
            <w:rStyle w:val="Hyperlink"/>
            <w:rFonts w:ascii="Arial" w:hAnsi="Arial" w:cs="Arial"/>
            <w:sz w:val="20"/>
            <w:szCs w:val="20"/>
            <w:vertAlign w:val="superscript"/>
            <w:lang w:val="en"/>
          </w:rPr>
          <w:t>3</w:t>
        </w:r>
      </w:hyperlink>
      <w:r w:rsidRPr="0077122A">
        <w:rPr>
          <w:rFonts w:ascii="Arial" w:hAnsi="Arial" w:cs="Arial"/>
          <w:sz w:val="20"/>
          <w:szCs w:val="20"/>
          <w:lang w:val="en"/>
        </w:rPr>
        <w:t> A systematic review of sentinel node biopsy in CSCC demonstrated that BWH T2b/T3 tumors have a high risk of sentinel node positivity (29.4%).</w:t>
      </w:r>
      <w:hyperlink w:anchor="R40612" w:tooltip="Schmitt  AR, Brewer  JD, Bordeaux  JS, Baum  CL.  Staging for cutaneous squamous cell carcinoma as a predictor of sentinel lymph node biopsy results: meta-analysis of American Joint Committee on Cancer criteria and a proposed alternative system.  JAMA Dermatol" w:history="1">
        <w:r w:rsidRPr="0077122A">
          <w:rPr>
            <w:rStyle w:val="Hyperlink"/>
            <w:rFonts w:ascii="Arial" w:hAnsi="Arial" w:cs="Arial"/>
            <w:sz w:val="20"/>
            <w:szCs w:val="20"/>
            <w:vertAlign w:val="superscript"/>
            <w:lang w:val="en"/>
          </w:rPr>
          <w:t>4</w:t>
        </w:r>
      </w:hyperlink>
    </w:p>
    <w:p w14:paraId="5CD6311A" w14:textId="77777777" w:rsidR="00E87710" w:rsidRPr="0077122A" w:rsidRDefault="00E87710" w:rsidP="00E87710">
      <w:pPr>
        <w:spacing w:after="0" w:line="276" w:lineRule="auto"/>
        <w:jc w:val="both"/>
        <w:rPr>
          <w:rFonts w:ascii="Arial" w:hAnsi="Arial" w:cs="Arial"/>
          <w:sz w:val="20"/>
          <w:szCs w:val="20"/>
          <w:lang w:val="e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03"/>
        <w:gridCol w:w="7357"/>
      </w:tblGrid>
      <w:tr w:rsidR="00CA3343" w:rsidRPr="006D0326" w14:paraId="25AEA0F9" w14:textId="77777777" w:rsidTr="006D0326">
        <w:trPr>
          <w:tblCellSpacing w:w="15" w:type="dxa"/>
        </w:trPr>
        <w:tc>
          <w:tcPr>
            <w:tcW w:w="1042" w:type="pct"/>
            <w:vAlign w:val="center"/>
            <w:hideMark/>
          </w:tcPr>
          <w:p w14:paraId="245D2C76" w14:textId="77777777" w:rsidR="00CA3343" w:rsidRPr="006D0326" w:rsidRDefault="00FB191C" w:rsidP="0077122A">
            <w:pPr>
              <w:spacing w:after="0" w:line="276" w:lineRule="auto"/>
              <w:rPr>
                <w:rFonts w:ascii="Arial" w:eastAsia="Times New Roman" w:hAnsi="Arial" w:cs="Arial"/>
                <w:sz w:val="18"/>
                <w:szCs w:val="18"/>
              </w:rPr>
            </w:pPr>
            <w:r w:rsidRPr="006D0326">
              <w:rPr>
                <w:rFonts w:ascii="Arial" w:eastAsia="Times New Roman" w:hAnsi="Arial" w:cs="Arial"/>
                <w:sz w:val="18"/>
                <w:szCs w:val="18"/>
              </w:rPr>
              <w:t>T0</w:t>
            </w:r>
          </w:p>
        </w:tc>
        <w:tc>
          <w:tcPr>
            <w:tcW w:w="3892" w:type="pct"/>
            <w:vAlign w:val="center"/>
            <w:hideMark/>
          </w:tcPr>
          <w:p w14:paraId="257F74C0" w14:textId="77777777" w:rsidR="00CA3343" w:rsidRPr="006D0326" w:rsidRDefault="00FB191C" w:rsidP="0077122A">
            <w:pPr>
              <w:spacing w:after="0" w:line="276" w:lineRule="auto"/>
              <w:rPr>
                <w:rFonts w:ascii="Arial" w:eastAsia="Times New Roman" w:hAnsi="Arial" w:cs="Arial"/>
                <w:sz w:val="18"/>
                <w:szCs w:val="18"/>
              </w:rPr>
            </w:pPr>
            <w:r w:rsidRPr="006D0326">
              <w:rPr>
                <w:rFonts w:ascii="Arial" w:eastAsia="Times New Roman" w:hAnsi="Arial" w:cs="Arial"/>
                <w:sz w:val="18"/>
                <w:szCs w:val="18"/>
              </w:rPr>
              <w:t xml:space="preserve">In situ SCC </w:t>
            </w:r>
          </w:p>
        </w:tc>
      </w:tr>
      <w:tr w:rsidR="00CA3343" w:rsidRPr="006D0326" w14:paraId="712147DE" w14:textId="77777777" w:rsidTr="006D0326">
        <w:trPr>
          <w:tblCellSpacing w:w="15" w:type="dxa"/>
        </w:trPr>
        <w:tc>
          <w:tcPr>
            <w:tcW w:w="1042" w:type="pct"/>
            <w:vAlign w:val="center"/>
            <w:hideMark/>
          </w:tcPr>
          <w:p w14:paraId="37624547" w14:textId="77777777" w:rsidR="00CA3343" w:rsidRPr="006D0326" w:rsidRDefault="00FB191C" w:rsidP="0077122A">
            <w:pPr>
              <w:spacing w:after="0" w:line="276" w:lineRule="auto"/>
              <w:rPr>
                <w:rFonts w:ascii="Arial" w:eastAsia="Times New Roman" w:hAnsi="Arial" w:cs="Arial"/>
                <w:sz w:val="18"/>
                <w:szCs w:val="18"/>
              </w:rPr>
            </w:pPr>
            <w:r w:rsidRPr="006D0326">
              <w:rPr>
                <w:rFonts w:ascii="Arial" w:eastAsia="Times New Roman" w:hAnsi="Arial" w:cs="Arial"/>
                <w:sz w:val="18"/>
                <w:szCs w:val="18"/>
              </w:rPr>
              <w:t>T1</w:t>
            </w:r>
          </w:p>
        </w:tc>
        <w:tc>
          <w:tcPr>
            <w:tcW w:w="3892" w:type="pct"/>
            <w:vAlign w:val="center"/>
            <w:hideMark/>
          </w:tcPr>
          <w:p w14:paraId="50087FF2" w14:textId="77777777" w:rsidR="00CA3343" w:rsidRPr="006D0326" w:rsidRDefault="00FB191C" w:rsidP="0077122A">
            <w:pPr>
              <w:spacing w:after="0" w:line="276" w:lineRule="auto"/>
              <w:rPr>
                <w:rFonts w:ascii="Arial" w:eastAsia="Times New Roman" w:hAnsi="Arial" w:cs="Arial"/>
                <w:sz w:val="18"/>
                <w:szCs w:val="18"/>
              </w:rPr>
            </w:pPr>
            <w:r w:rsidRPr="006D0326">
              <w:rPr>
                <w:rFonts w:ascii="Arial" w:eastAsia="Times New Roman" w:hAnsi="Arial" w:cs="Arial"/>
                <w:sz w:val="18"/>
                <w:szCs w:val="18"/>
              </w:rPr>
              <w:t>0 high-risk factors*</w:t>
            </w:r>
          </w:p>
        </w:tc>
      </w:tr>
      <w:tr w:rsidR="00CA3343" w:rsidRPr="006D0326" w14:paraId="2AD1EA81" w14:textId="77777777" w:rsidTr="006D0326">
        <w:trPr>
          <w:tblCellSpacing w:w="15" w:type="dxa"/>
        </w:trPr>
        <w:tc>
          <w:tcPr>
            <w:tcW w:w="1042" w:type="pct"/>
            <w:vAlign w:val="center"/>
            <w:hideMark/>
          </w:tcPr>
          <w:p w14:paraId="24CF1180" w14:textId="77777777" w:rsidR="00CA3343" w:rsidRPr="006D0326" w:rsidRDefault="00FB191C" w:rsidP="0077122A">
            <w:pPr>
              <w:spacing w:after="0" w:line="276" w:lineRule="auto"/>
              <w:rPr>
                <w:rFonts w:ascii="Arial" w:eastAsia="Times New Roman" w:hAnsi="Arial" w:cs="Arial"/>
                <w:sz w:val="18"/>
                <w:szCs w:val="18"/>
              </w:rPr>
            </w:pPr>
            <w:r w:rsidRPr="006D0326">
              <w:rPr>
                <w:rFonts w:ascii="Arial" w:eastAsia="Times New Roman" w:hAnsi="Arial" w:cs="Arial"/>
                <w:sz w:val="18"/>
                <w:szCs w:val="18"/>
              </w:rPr>
              <w:t>T2a</w:t>
            </w:r>
          </w:p>
        </w:tc>
        <w:tc>
          <w:tcPr>
            <w:tcW w:w="3892" w:type="pct"/>
            <w:vAlign w:val="center"/>
            <w:hideMark/>
          </w:tcPr>
          <w:p w14:paraId="36DF2D19" w14:textId="77777777" w:rsidR="00CA3343" w:rsidRPr="006D0326" w:rsidRDefault="00FB191C" w:rsidP="0077122A">
            <w:pPr>
              <w:spacing w:after="0" w:line="276" w:lineRule="auto"/>
              <w:rPr>
                <w:rFonts w:ascii="Arial" w:eastAsia="Times New Roman" w:hAnsi="Arial" w:cs="Arial"/>
                <w:sz w:val="18"/>
                <w:szCs w:val="18"/>
              </w:rPr>
            </w:pPr>
            <w:r w:rsidRPr="006D0326">
              <w:rPr>
                <w:rFonts w:ascii="Arial" w:eastAsia="Times New Roman" w:hAnsi="Arial" w:cs="Arial"/>
                <w:sz w:val="18"/>
                <w:szCs w:val="18"/>
              </w:rPr>
              <w:t>1 high-risk factor*</w:t>
            </w:r>
          </w:p>
        </w:tc>
      </w:tr>
      <w:tr w:rsidR="00CA3343" w:rsidRPr="006D0326" w14:paraId="60485122" w14:textId="77777777" w:rsidTr="006D0326">
        <w:trPr>
          <w:tblCellSpacing w:w="15" w:type="dxa"/>
        </w:trPr>
        <w:tc>
          <w:tcPr>
            <w:tcW w:w="1042" w:type="pct"/>
            <w:vAlign w:val="center"/>
            <w:hideMark/>
          </w:tcPr>
          <w:p w14:paraId="521E2935" w14:textId="77777777" w:rsidR="00CA3343" w:rsidRPr="006D0326" w:rsidRDefault="00FB191C" w:rsidP="0077122A">
            <w:pPr>
              <w:spacing w:after="0" w:line="276" w:lineRule="auto"/>
              <w:rPr>
                <w:rFonts w:ascii="Arial" w:eastAsia="Times New Roman" w:hAnsi="Arial" w:cs="Arial"/>
                <w:sz w:val="18"/>
                <w:szCs w:val="18"/>
              </w:rPr>
            </w:pPr>
            <w:r w:rsidRPr="006D0326">
              <w:rPr>
                <w:rFonts w:ascii="Arial" w:eastAsia="Times New Roman" w:hAnsi="Arial" w:cs="Arial"/>
                <w:sz w:val="18"/>
                <w:szCs w:val="18"/>
              </w:rPr>
              <w:t>T2b</w:t>
            </w:r>
          </w:p>
        </w:tc>
        <w:tc>
          <w:tcPr>
            <w:tcW w:w="3892" w:type="pct"/>
            <w:vAlign w:val="center"/>
            <w:hideMark/>
          </w:tcPr>
          <w:p w14:paraId="6A1FC7FE" w14:textId="77777777" w:rsidR="00CA3343" w:rsidRPr="006D0326" w:rsidRDefault="00FB191C" w:rsidP="0077122A">
            <w:pPr>
              <w:spacing w:after="0" w:line="276" w:lineRule="auto"/>
              <w:rPr>
                <w:rFonts w:ascii="Arial" w:eastAsia="Times New Roman" w:hAnsi="Arial" w:cs="Arial"/>
                <w:sz w:val="18"/>
                <w:szCs w:val="18"/>
              </w:rPr>
            </w:pPr>
            <w:r w:rsidRPr="006D0326">
              <w:rPr>
                <w:rFonts w:ascii="Arial" w:eastAsia="Times New Roman" w:hAnsi="Arial" w:cs="Arial"/>
                <w:sz w:val="18"/>
                <w:szCs w:val="18"/>
              </w:rPr>
              <w:t>2-3 high-risk factors*</w:t>
            </w:r>
          </w:p>
        </w:tc>
      </w:tr>
      <w:tr w:rsidR="00CA3343" w:rsidRPr="006D0326" w14:paraId="15791901" w14:textId="77777777" w:rsidTr="006D0326">
        <w:trPr>
          <w:tblCellSpacing w:w="15" w:type="dxa"/>
        </w:trPr>
        <w:tc>
          <w:tcPr>
            <w:tcW w:w="1042" w:type="pct"/>
            <w:vAlign w:val="center"/>
            <w:hideMark/>
          </w:tcPr>
          <w:p w14:paraId="515D7AD7" w14:textId="77777777" w:rsidR="00CA3343" w:rsidRPr="006D0326" w:rsidRDefault="00FB191C" w:rsidP="0077122A">
            <w:pPr>
              <w:spacing w:after="0" w:line="276" w:lineRule="auto"/>
              <w:rPr>
                <w:rFonts w:ascii="Arial" w:eastAsia="Times New Roman" w:hAnsi="Arial" w:cs="Arial"/>
                <w:sz w:val="18"/>
                <w:szCs w:val="18"/>
              </w:rPr>
            </w:pPr>
            <w:r w:rsidRPr="006D0326">
              <w:rPr>
                <w:rFonts w:ascii="Arial" w:eastAsia="Times New Roman" w:hAnsi="Arial" w:cs="Arial"/>
                <w:sz w:val="18"/>
                <w:szCs w:val="18"/>
              </w:rPr>
              <w:t>T3</w:t>
            </w:r>
          </w:p>
        </w:tc>
        <w:tc>
          <w:tcPr>
            <w:tcW w:w="3892" w:type="pct"/>
            <w:vAlign w:val="center"/>
            <w:hideMark/>
          </w:tcPr>
          <w:p w14:paraId="0A3E5CC1" w14:textId="3AF5F052" w:rsidR="00CA3343" w:rsidRPr="006D0326" w:rsidRDefault="00A27333" w:rsidP="0077122A">
            <w:pPr>
              <w:spacing w:after="0" w:line="276" w:lineRule="auto"/>
              <w:rPr>
                <w:rFonts w:ascii="Arial" w:eastAsia="Times New Roman" w:hAnsi="Arial" w:cs="Arial"/>
                <w:sz w:val="18"/>
                <w:szCs w:val="18"/>
              </w:rPr>
            </w:pPr>
            <w:r>
              <w:rPr>
                <w:rFonts w:ascii="Arial" w:eastAsia="Times New Roman" w:hAnsi="Arial" w:cs="Arial"/>
                <w:sz w:val="18"/>
                <w:szCs w:val="18"/>
              </w:rPr>
              <w:t>G</w:t>
            </w:r>
            <w:r w:rsidR="00FB191C" w:rsidRPr="006D0326">
              <w:rPr>
                <w:rFonts w:ascii="Arial" w:eastAsia="Times New Roman" w:hAnsi="Arial" w:cs="Arial"/>
                <w:sz w:val="18"/>
                <w:szCs w:val="18"/>
              </w:rPr>
              <w:t>reater than or equal 4 risk factors* or bone invasion</w:t>
            </w:r>
          </w:p>
        </w:tc>
      </w:tr>
    </w:tbl>
    <w:p w14:paraId="461E5027" w14:textId="77777777" w:rsidR="00E87710" w:rsidRDefault="00FB191C" w:rsidP="006D0326">
      <w:pPr>
        <w:pStyle w:val="NormalWeb"/>
        <w:spacing w:before="0" w:beforeAutospacing="0" w:after="0" w:afterAutospacing="0" w:line="276" w:lineRule="auto"/>
        <w:jc w:val="both"/>
        <w:rPr>
          <w:rFonts w:ascii="Arial" w:hAnsi="Arial" w:cs="Arial"/>
          <w:sz w:val="20"/>
          <w:szCs w:val="20"/>
          <w:lang w:val="en"/>
        </w:rPr>
      </w:pPr>
      <w:r w:rsidRPr="0077122A">
        <w:rPr>
          <w:rFonts w:ascii="Arial" w:hAnsi="Arial" w:cs="Arial"/>
          <w:sz w:val="20"/>
          <w:szCs w:val="20"/>
          <w:lang w:val="en"/>
        </w:rPr>
        <w:lastRenderedPageBreak/>
        <w:t>*BWH staging high-risk features:</w:t>
      </w:r>
    </w:p>
    <w:p w14:paraId="204757B8" w14:textId="77777777" w:rsidR="00E87710" w:rsidRPr="00E87710" w:rsidRDefault="00FB191C" w:rsidP="006D0326">
      <w:pPr>
        <w:pStyle w:val="NormalWeb"/>
        <w:numPr>
          <w:ilvl w:val="0"/>
          <w:numId w:val="20"/>
        </w:numPr>
        <w:spacing w:before="0" w:beforeAutospacing="0" w:after="0" w:afterAutospacing="0" w:line="276" w:lineRule="auto"/>
        <w:jc w:val="both"/>
        <w:rPr>
          <w:rFonts w:ascii="Arial" w:hAnsi="Arial" w:cs="Arial"/>
          <w:sz w:val="20"/>
          <w:szCs w:val="20"/>
          <w:lang w:val="en"/>
        </w:rPr>
      </w:pPr>
      <w:r w:rsidRPr="0077122A">
        <w:rPr>
          <w:rFonts w:ascii="Arial" w:eastAsia="Times New Roman" w:hAnsi="Arial" w:cs="Arial"/>
          <w:sz w:val="20"/>
          <w:szCs w:val="20"/>
          <w:lang w:val="en"/>
        </w:rPr>
        <w:t>Clinical tumor diameter greater than or equal 2 cm</w:t>
      </w:r>
    </w:p>
    <w:p w14:paraId="04069A9B" w14:textId="77777777" w:rsidR="00E87710" w:rsidRPr="00E87710" w:rsidRDefault="00FB191C" w:rsidP="006D0326">
      <w:pPr>
        <w:pStyle w:val="NormalWeb"/>
        <w:numPr>
          <w:ilvl w:val="0"/>
          <w:numId w:val="20"/>
        </w:numPr>
        <w:spacing w:before="0" w:beforeAutospacing="0" w:after="0" w:afterAutospacing="0" w:line="276" w:lineRule="auto"/>
        <w:jc w:val="both"/>
        <w:rPr>
          <w:rFonts w:ascii="Arial" w:hAnsi="Arial" w:cs="Arial"/>
          <w:sz w:val="20"/>
          <w:szCs w:val="20"/>
          <w:lang w:val="en"/>
        </w:rPr>
      </w:pPr>
      <w:r w:rsidRPr="00E87710">
        <w:rPr>
          <w:rFonts w:ascii="Arial" w:eastAsia="Times New Roman" w:hAnsi="Arial" w:cs="Arial"/>
          <w:sz w:val="20"/>
          <w:szCs w:val="20"/>
          <w:lang w:val="en"/>
        </w:rPr>
        <w:t>Tumor invasion beyond subcutaneous fat, excluding bone invasion, which upgrades tumor to stage T3</w:t>
      </w:r>
    </w:p>
    <w:p w14:paraId="4119D22C" w14:textId="77777777" w:rsidR="00E87710" w:rsidRPr="00E87710" w:rsidRDefault="00FB191C" w:rsidP="006D0326">
      <w:pPr>
        <w:pStyle w:val="NormalWeb"/>
        <w:numPr>
          <w:ilvl w:val="0"/>
          <w:numId w:val="20"/>
        </w:numPr>
        <w:spacing w:before="0" w:beforeAutospacing="0" w:after="0" w:afterAutospacing="0" w:line="276" w:lineRule="auto"/>
        <w:jc w:val="both"/>
        <w:rPr>
          <w:rFonts w:ascii="Arial" w:hAnsi="Arial" w:cs="Arial"/>
          <w:sz w:val="20"/>
          <w:szCs w:val="20"/>
          <w:lang w:val="en"/>
        </w:rPr>
      </w:pPr>
      <w:r w:rsidRPr="00E87710">
        <w:rPr>
          <w:rFonts w:ascii="Arial" w:eastAsia="Times New Roman" w:hAnsi="Arial" w:cs="Arial"/>
          <w:sz w:val="20"/>
          <w:szCs w:val="20"/>
          <w:lang w:val="en"/>
        </w:rPr>
        <w:t>Poorly differentiated histology</w:t>
      </w:r>
    </w:p>
    <w:p w14:paraId="16D53A5D" w14:textId="77777777" w:rsidR="00E87710" w:rsidRDefault="00FB191C" w:rsidP="006D0326">
      <w:pPr>
        <w:pStyle w:val="NormalWeb"/>
        <w:numPr>
          <w:ilvl w:val="0"/>
          <w:numId w:val="20"/>
        </w:numPr>
        <w:spacing w:before="0" w:beforeAutospacing="0" w:after="0" w:afterAutospacing="0" w:line="276" w:lineRule="auto"/>
        <w:jc w:val="both"/>
        <w:rPr>
          <w:rFonts w:ascii="Arial" w:hAnsi="Arial" w:cs="Arial"/>
          <w:sz w:val="20"/>
          <w:szCs w:val="20"/>
          <w:lang w:val="en"/>
        </w:rPr>
      </w:pPr>
      <w:r w:rsidRPr="00E87710">
        <w:rPr>
          <w:rFonts w:ascii="Arial" w:eastAsia="Times New Roman" w:hAnsi="Arial" w:cs="Arial"/>
          <w:sz w:val="20"/>
          <w:szCs w:val="20"/>
          <w:lang w:val="en"/>
        </w:rPr>
        <w:t>Perineural invasion of nerve(s) greater than or equal 0.1 mm in caliber</w:t>
      </w:r>
    </w:p>
    <w:p w14:paraId="0840D0DC" w14:textId="77777777" w:rsidR="00E87710" w:rsidRDefault="00E87710" w:rsidP="006D0326">
      <w:pPr>
        <w:pStyle w:val="NormalWeb"/>
        <w:spacing w:before="0" w:beforeAutospacing="0" w:after="0" w:afterAutospacing="0" w:line="276" w:lineRule="auto"/>
        <w:jc w:val="both"/>
        <w:rPr>
          <w:rFonts w:ascii="Arial" w:hAnsi="Arial" w:cs="Arial"/>
          <w:sz w:val="20"/>
          <w:szCs w:val="20"/>
          <w:lang w:val="en"/>
        </w:rPr>
      </w:pPr>
    </w:p>
    <w:p w14:paraId="0380AC90" w14:textId="77777777" w:rsidR="00E87710" w:rsidRDefault="00FB191C" w:rsidP="006D0326">
      <w:pPr>
        <w:pStyle w:val="NormalWeb"/>
        <w:spacing w:before="0" w:beforeAutospacing="0" w:after="0" w:afterAutospacing="0" w:line="276" w:lineRule="auto"/>
        <w:jc w:val="both"/>
        <w:rPr>
          <w:rFonts w:ascii="Arial" w:eastAsia="Times New Roman" w:hAnsi="Arial" w:cs="Arial"/>
          <w:sz w:val="20"/>
          <w:szCs w:val="20"/>
          <w:lang w:val="en"/>
        </w:rPr>
      </w:pPr>
      <w:r w:rsidRPr="00E87710">
        <w:rPr>
          <w:rFonts w:ascii="Arial" w:eastAsia="Times New Roman" w:hAnsi="Arial" w:cs="Arial"/>
          <w:sz w:val="20"/>
          <w:szCs w:val="20"/>
          <w:lang w:val="en"/>
        </w:rPr>
        <w:t>References</w:t>
      </w:r>
      <w:bookmarkStart w:id="32" w:name="R40609"/>
    </w:p>
    <w:p w14:paraId="569F7CA5" w14:textId="77777777" w:rsidR="00E87710" w:rsidRPr="00E87710" w:rsidRDefault="00FB191C" w:rsidP="006D0326">
      <w:pPr>
        <w:pStyle w:val="NormalWeb"/>
        <w:numPr>
          <w:ilvl w:val="0"/>
          <w:numId w:val="21"/>
        </w:numPr>
        <w:spacing w:before="0" w:beforeAutospacing="0" w:after="0" w:afterAutospacing="0" w:line="276" w:lineRule="auto"/>
        <w:jc w:val="both"/>
        <w:rPr>
          <w:rFonts w:ascii="Arial" w:hAnsi="Arial" w:cs="Arial"/>
          <w:sz w:val="20"/>
          <w:szCs w:val="20"/>
          <w:lang w:val="en"/>
        </w:rPr>
      </w:pPr>
      <w:r w:rsidRPr="0077122A">
        <w:rPr>
          <w:rFonts w:ascii="Arial" w:eastAsia="Times New Roman" w:hAnsi="Arial" w:cs="Arial"/>
          <w:sz w:val="20"/>
          <w:szCs w:val="20"/>
          <w:lang w:val="en"/>
        </w:rPr>
        <w:t xml:space="preserve">Amin MB, Edge SB, Greene FL, et al, eds. AJCC </w:t>
      </w:r>
      <w:r w:rsidRPr="0077122A">
        <w:rPr>
          <w:rStyle w:val="Emphasis"/>
          <w:rFonts w:ascii="Arial" w:eastAsia="Times New Roman" w:hAnsi="Arial" w:cs="Arial"/>
          <w:sz w:val="20"/>
          <w:szCs w:val="20"/>
          <w:lang w:val="en"/>
        </w:rPr>
        <w:t>Cancer Staging Manual</w:t>
      </w:r>
      <w:r w:rsidRPr="0077122A">
        <w:rPr>
          <w:rFonts w:ascii="Arial" w:eastAsia="Times New Roman" w:hAnsi="Arial" w:cs="Arial"/>
          <w:sz w:val="20"/>
          <w:szCs w:val="20"/>
          <w:lang w:val="en"/>
        </w:rPr>
        <w:t>. 8th ed. New York, NY: Springer; 2017.</w:t>
      </w:r>
      <w:bookmarkStart w:id="33" w:name="R40610"/>
      <w:bookmarkEnd w:id="32"/>
    </w:p>
    <w:p w14:paraId="52E0191B" w14:textId="77777777" w:rsidR="00E87710" w:rsidRPr="00E87710" w:rsidRDefault="00FB191C" w:rsidP="006D0326">
      <w:pPr>
        <w:pStyle w:val="NormalWeb"/>
        <w:numPr>
          <w:ilvl w:val="0"/>
          <w:numId w:val="21"/>
        </w:numPr>
        <w:spacing w:before="0" w:beforeAutospacing="0" w:after="0" w:afterAutospacing="0" w:line="276" w:lineRule="auto"/>
        <w:jc w:val="both"/>
        <w:rPr>
          <w:rFonts w:ascii="Arial" w:hAnsi="Arial" w:cs="Arial"/>
          <w:sz w:val="20"/>
          <w:szCs w:val="20"/>
          <w:lang w:val="en"/>
        </w:rPr>
      </w:pPr>
      <w:r w:rsidRPr="00E87710">
        <w:rPr>
          <w:rFonts w:ascii="Arial" w:eastAsia="Times New Roman" w:hAnsi="Arial" w:cs="Arial"/>
          <w:sz w:val="20"/>
          <w:szCs w:val="20"/>
          <w:lang w:val="en"/>
        </w:rPr>
        <w:t xml:space="preserve">Karia  PS, Jambusaria-Pahlajani  A, Harrington  DP, Murphy  GF, Qureshi  AA, Schmults  CD.  Evaluation of American Joint Committee on Cancer, International Union Against Cancer, and Brigham and Women’s Hospital tumor staging for cutaneous squamous cell carcinoma.  </w:t>
      </w:r>
      <w:r w:rsidRPr="00E87710">
        <w:rPr>
          <w:rStyle w:val="Emphasis"/>
          <w:rFonts w:ascii="Arial" w:eastAsia="Times New Roman" w:hAnsi="Arial" w:cs="Arial"/>
          <w:sz w:val="20"/>
          <w:szCs w:val="20"/>
          <w:lang w:val="en"/>
        </w:rPr>
        <w:t>J Clin Oncol.</w:t>
      </w:r>
      <w:r w:rsidRPr="00E87710">
        <w:rPr>
          <w:rFonts w:ascii="Arial" w:eastAsia="Times New Roman" w:hAnsi="Arial" w:cs="Arial"/>
          <w:sz w:val="20"/>
          <w:szCs w:val="20"/>
          <w:lang w:val="en"/>
        </w:rPr>
        <w:t xml:space="preserve"> 2014;32(4):327-334.</w:t>
      </w:r>
      <w:bookmarkStart w:id="34" w:name="R40611"/>
      <w:bookmarkEnd w:id="33"/>
    </w:p>
    <w:p w14:paraId="6705EA8F" w14:textId="77777777" w:rsidR="00E87710" w:rsidRPr="00E87710" w:rsidRDefault="00FB191C" w:rsidP="006D0326">
      <w:pPr>
        <w:pStyle w:val="NormalWeb"/>
        <w:numPr>
          <w:ilvl w:val="0"/>
          <w:numId w:val="21"/>
        </w:numPr>
        <w:spacing w:before="0" w:beforeAutospacing="0" w:after="0" w:afterAutospacing="0" w:line="276" w:lineRule="auto"/>
        <w:jc w:val="both"/>
        <w:rPr>
          <w:rFonts w:ascii="Arial" w:hAnsi="Arial" w:cs="Arial"/>
          <w:sz w:val="20"/>
          <w:szCs w:val="20"/>
          <w:lang w:val="en"/>
        </w:rPr>
      </w:pPr>
      <w:r w:rsidRPr="00E87710">
        <w:rPr>
          <w:rFonts w:ascii="Arial" w:eastAsia="Times New Roman" w:hAnsi="Arial" w:cs="Arial"/>
          <w:sz w:val="20"/>
          <w:szCs w:val="20"/>
          <w:lang w:val="en"/>
        </w:rPr>
        <w:t xml:space="preserve">Ruiz ES, Karia PS, Besaw R, Schmults, CD.  Performance of the American Joint Committee on Cancer Staging Manual, 8th Edition vs the Brigham and Women’s Hospital Tumor Classification System for Cutaneous Squamous Cell Carcinoma. </w:t>
      </w:r>
      <w:r w:rsidRPr="00E87710">
        <w:rPr>
          <w:rStyle w:val="Emphasis"/>
          <w:rFonts w:ascii="Arial" w:eastAsia="Times New Roman" w:hAnsi="Arial" w:cs="Arial"/>
          <w:sz w:val="20"/>
          <w:szCs w:val="20"/>
          <w:lang w:val="en"/>
        </w:rPr>
        <w:t>JAMA</w:t>
      </w:r>
      <w:r w:rsidRPr="00E87710">
        <w:rPr>
          <w:rFonts w:ascii="Arial" w:eastAsia="Times New Roman" w:hAnsi="Arial" w:cs="Arial"/>
          <w:sz w:val="20"/>
          <w:szCs w:val="20"/>
          <w:lang w:val="en"/>
        </w:rPr>
        <w:t xml:space="preserve"> </w:t>
      </w:r>
      <w:r w:rsidRPr="00E87710">
        <w:rPr>
          <w:rStyle w:val="Emphasis"/>
          <w:rFonts w:ascii="Arial" w:eastAsia="Times New Roman" w:hAnsi="Arial" w:cs="Arial"/>
          <w:sz w:val="20"/>
          <w:szCs w:val="20"/>
          <w:lang w:val="en"/>
        </w:rPr>
        <w:t>Dermatol.</w:t>
      </w:r>
      <w:r w:rsidRPr="00E87710">
        <w:rPr>
          <w:rFonts w:ascii="Arial" w:eastAsia="Times New Roman" w:hAnsi="Arial" w:cs="Arial"/>
          <w:sz w:val="20"/>
          <w:szCs w:val="20"/>
          <w:lang w:val="en"/>
        </w:rPr>
        <w:t xml:space="preserve"> 2019;155(7):819-825.</w:t>
      </w:r>
      <w:bookmarkStart w:id="35" w:name="R40612"/>
      <w:bookmarkEnd w:id="34"/>
    </w:p>
    <w:p w14:paraId="0993B4E7" w14:textId="30E1F1CC" w:rsidR="00FB191C" w:rsidRPr="00E87710" w:rsidRDefault="00FB191C" w:rsidP="006D0326">
      <w:pPr>
        <w:pStyle w:val="NormalWeb"/>
        <w:numPr>
          <w:ilvl w:val="0"/>
          <w:numId w:val="21"/>
        </w:numPr>
        <w:spacing w:before="0" w:beforeAutospacing="0" w:after="0" w:afterAutospacing="0" w:line="276" w:lineRule="auto"/>
        <w:jc w:val="both"/>
        <w:rPr>
          <w:rFonts w:ascii="Arial" w:hAnsi="Arial" w:cs="Arial"/>
          <w:sz w:val="20"/>
          <w:szCs w:val="20"/>
          <w:lang w:val="en"/>
        </w:rPr>
      </w:pPr>
      <w:r w:rsidRPr="00E87710">
        <w:rPr>
          <w:rFonts w:ascii="Arial" w:eastAsia="Times New Roman" w:hAnsi="Arial" w:cs="Arial"/>
          <w:sz w:val="20"/>
          <w:szCs w:val="20"/>
          <w:lang w:val="en"/>
        </w:rPr>
        <w:t xml:space="preserve">Schmitt  AR, Brewer  JD, Bordeaux  JS, Baum  CL.  Staging for cutaneous squamous cell carcinoma as a predictor of sentinel lymph node biopsy results: meta-analysis of American Joint Committee on Cancer criteria and a proposed alternative system.  </w:t>
      </w:r>
      <w:r w:rsidRPr="00E87710">
        <w:rPr>
          <w:rStyle w:val="Emphasis"/>
          <w:rFonts w:ascii="Arial" w:eastAsia="Times New Roman" w:hAnsi="Arial" w:cs="Arial"/>
          <w:sz w:val="20"/>
          <w:szCs w:val="20"/>
          <w:lang w:val="en"/>
        </w:rPr>
        <w:t>JAMA Dermatol</w:t>
      </w:r>
      <w:r w:rsidRPr="00E87710">
        <w:rPr>
          <w:rFonts w:ascii="Arial" w:eastAsia="Times New Roman" w:hAnsi="Arial" w:cs="Arial"/>
          <w:sz w:val="20"/>
          <w:szCs w:val="20"/>
          <w:lang w:val="en"/>
        </w:rPr>
        <w:t>. 2014;150(1):19-24. </w:t>
      </w:r>
      <w:bookmarkEnd w:id="35"/>
    </w:p>
    <w:sectPr w:rsidR="00FB191C" w:rsidRPr="00E8771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F5F4" w14:textId="77777777" w:rsidR="00A267AA" w:rsidRDefault="00A267AA">
      <w:pPr>
        <w:spacing w:after="0" w:line="240" w:lineRule="auto"/>
      </w:pPr>
      <w:r>
        <w:separator/>
      </w:r>
    </w:p>
  </w:endnote>
  <w:endnote w:type="continuationSeparator" w:id="0">
    <w:p w14:paraId="24790DA8" w14:textId="77777777" w:rsidR="00A267AA" w:rsidRDefault="00A2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A046" w14:textId="21527AD5" w:rsidR="00E755BA" w:rsidRDefault="00FB191C">
    <w:pPr>
      <w:pStyle w:val="Footer"/>
      <w:jc w:val="right"/>
    </w:pPr>
    <w:r>
      <w:fldChar w:fldCharType="begin"/>
    </w:r>
    <w:r>
      <w:instrText>PAGE</w:instrText>
    </w:r>
    <w:r>
      <w:fldChar w:fldCharType="separate"/>
    </w:r>
    <w:r w:rsidR="0077122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8DA0" w14:textId="77777777" w:rsidR="00D61B7F" w:rsidRDefault="00FB191C">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0F582" w14:textId="77777777" w:rsidR="00A267AA" w:rsidRDefault="00A267AA">
      <w:pPr>
        <w:spacing w:after="0" w:line="240" w:lineRule="auto"/>
      </w:pPr>
      <w:r>
        <w:separator/>
      </w:r>
    </w:p>
  </w:footnote>
  <w:footnote w:type="continuationSeparator" w:id="0">
    <w:p w14:paraId="27A0EDB2" w14:textId="77777777" w:rsidR="00A267AA" w:rsidRDefault="00A26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0232" w14:textId="77777777" w:rsidR="00E755BA" w:rsidRDefault="00E755B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776589" w14:paraId="63014627" w14:textId="77777777" w:rsidTr="00776589">
      <w:tc>
        <w:tcPr>
          <w:tcW w:w="1500" w:type="dxa"/>
        </w:tcPr>
        <w:p w14:paraId="746E202A" w14:textId="77777777" w:rsidR="00776589" w:rsidRDefault="00FB191C">
          <w:r>
            <w:t>CAP Approved</w:t>
          </w:r>
        </w:p>
      </w:tc>
      <w:tc>
        <w:tcPr>
          <w:tcW w:w="8076" w:type="dxa"/>
        </w:tcPr>
        <w:p w14:paraId="3FD4D522" w14:textId="5AAC65DF" w:rsidR="00776589" w:rsidRDefault="00FB191C">
          <w:pPr>
            <w:jc w:val="right"/>
          </w:pPr>
          <w:r>
            <w:t>HN.SCC_1.0.0.0.</w:t>
          </w:r>
          <w:r w:rsidR="004C1197">
            <w:t>REL</w:t>
          </w:r>
          <w:r>
            <w:t>_CAPCP</w:t>
          </w:r>
        </w:p>
      </w:tc>
    </w:tr>
  </w:tbl>
  <w:p w14:paraId="42ED26FA" w14:textId="77777777" w:rsidR="00E755BA" w:rsidRDefault="00E755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3D08" w14:textId="2B5F8105" w:rsidR="00E755BA" w:rsidRDefault="00FB191C">
    <w:r>
      <w:rPr>
        <w:noProof/>
      </w:rPr>
      <w:drawing>
        <wp:inline distT="0" distB="0" distL="0" distR="0" wp14:anchorId="0D336763" wp14:editId="0811F113">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616636">
      <w:rPr>
        <w:noProof/>
      </w:rPr>
      <mc:AlternateContent>
        <mc:Choice Requires="wps">
          <w:drawing>
            <wp:anchor distT="0" distB="0" distL="114300" distR="114300" simplePos="0" relativeHeight="251657216" behindDoc="0" locked="0" layoutInCell="1" allowOverlap="1" wp14:anchorId="335A0A8B" wp14:editId="736601C9">
              <wp:simplePos x="0" y="0"/>
              <wp:positionH relativeFrom="column">
                <wp:posOffset>0</wp:posOffset>
              </wp:positionH>
              <wp:positionV relativeFrom="paragraph">
                <wp:posOffset>0</wp:posOffset>
              </wp:positionV>
              <wp:extent cx="635000" cy="635000"/>
              <wp:effectExtent l="0" t="0" r="3175" b="3175"/>
              <wp:wrapNone/>
              <wp:docPr id="2"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7A205F"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4F5D"/>
    <w:multiLevelType w:val="hybridMultilevel"/>
    <w:tmpl w:val="B7F2737C"/>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C352F"/>
    <w:multiLevelType w:val="multilevel"/>
    <w:tmpl w:val="1108C2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76742C9"/>
    <w:multiLevelType w:val="hybridMultilevel"/>
    <w:tmpl w:val="84DC721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1C3729"/>
    <w:multiLevelType w:val="hybridMultilevel"/>
    <w:tmpl w:val="A01CEE40"/>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53954"/>
    <w:multiLevelType w:val="multilevel"/>
    <w:tmpl w:val="155855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C426265"/>
    <w:multiLevelType w:val="multilevel"/>
    <w:tmpl w:val="24A066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71F3F12"/>
    <w:multiLevelType w:val="hybridMultilevel"/>
    <w:tmpl w:val="A88474E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85664"/>
    <w:multiLevelType w:val="multilevel"/>
    <w:tmpl w:val="0FEE8F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B9440DA"/>
    <w:multiLevelType w:val="hybridMultilevel"/>
    <w:tmpl w:val="58AE98DE"/>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02247"/>
    <w:multiLevelType w:val="multilevel"/>
    <w:tmpl w:val="54B89B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DC101C2"/>
    <w:multiLevelType w:val="hybridMultilevel"/>
    <w:tmpl w:val="615C6A2C"/>
    <w:lvl w:ilvl="0" w:tplc="3CFA9CE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C2584"/>
    <w:multiLevelType w:val="multilevel"/>
    <w:tmpl w:val="E23CB4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0B60323"/>
    <w:multiLevelType w:val="multilevel"/>
    <w:tmpl w:val="157EE5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83058C"/>
    <w:multiLevelType w:val="multilevel"/>
    <w:tmpl w:val="DB70D5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5C47F6"/>
    <w:multiLevelType w:val="hybridMultilevel"/>
    <w:tmpl w:val="84DC721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8D684A"/>
    <w:multiLevelType w:val="multilevel"/>
    <w:tmpl w:val="61B4BF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FC07A4"/>
    <w:multiLevelType w:val="multilevel"/>
    <w:tmpl w:val="7F82FA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8D6551"/>
    <w:multiLevelType w:val="multilevel"/>
    <w:tmpl w:val="5268F2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6224FF3"/>
    <w:multiLevelType w:val="multilevel"/>
    <w:tmpl w:val="AD58B1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7D7F4D9A"/>
    <w:multiLevelType w:val="hybridMultilevel"/>
    <w:tmpl w:val="9ADC82AE"/>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5C60E4"/>
    <w:multiLevelType w:val="hybridMultilevel"/>
    <w:tmpl w:val="CF38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9432533">
    <w:abstractNumId w:val="15"/>
  </w:num>
  <w:num w:numId="2" w16cid:durableId="378363481">
    <w:abstractNumId w:val="16"/>
  </w:num>
  <w:num w:numId="3" w16cid:durableId="911701352">
    <w:abstractNumId w:val="13"/>
  </w:num>
  <w:num w:numId="4" w16cid:durableId="2045397958">
    <w:abstractNumId w:val="1"/>
  </w:num>
  <w:num w:numId="5" w16cid:durableId="679355282">
    <w:abstractNumId w:val="11"/>
  </w:num>
  <w:num w:numId="6" w16cid:durableId="1539853522">
    <w:abstractNumId w:val="9"/>
  </w:num>
  <w:num w:numId="7" w16cid:durableId="1292899462">
    <w:abstractNumId w:val="17"/>
  </w:num>
  <w:num w:numId="8" w16cid:durableId="318653741">
    <w:abstractNumId w:val="18"/>
  </w:num>
  <w:num w:numId="9" w16cid:durableId="287010066">
    <w:abstractNumId w:val="5"/>
  </w:num>
  <w:num w:numId="10" w16cid:durableId="597523537">
    <w:abstractNumId w:val="4"/>
  </w:num>
  <w:num w:numId="11" w16cid:durableId="2072658228">
    <w:abstractNumId w:val="12"/>
  </w:num>
  <w:num w:numId="12" w16cid:durableId="500774696">
    <w:abstractNumId w:val="7"/>
  </w:num>
  <w:num w:numId="13" w16cid:durableId="1286307200">
    <w:abstractNumId w:val="10"/>
  </w:num>
  <w:num w:numId="14" w16cid:durableId="1560899750">
    <w:abstractNumId w:val="14"/>
  </w:num>
  <w:num w:numId="15" w16cid:durableId="1771004195">
    <w:abstractNumId w:val="2"/>
  </w:num>
  <w:num w:numId="16" w16cid:durableId="1203009749">
    <w:abstractNumId w:val="8"/>
  </w:num>
  <w:num w:numId="17" w16cid:durableId="107700009">
    <w:abstractNumId w:val="19"/>
  </w:num>
  <w:num w:numId="18" w16cid:durableId="356204008">
    <w:abstractNumId w:val="3"/>
  </w:num>
  <w:num w:numId="19" w16cid:durableId="633760164">
    <w:abstractNumId w:val="0"/>
  </w:num>
  <w:num w:numId="20" w16cid:durableId="974719176">
    <w:abstractNumId w:val="20"/>
  </w:num>
  <w:num w:numId="21" w16cid:durableId="15856485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hdrShapeDefaults>
    <o:shapedefaults v:ext="edit" spidmax="307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BA"/>
    <w:rsid w:val="00026C2A"/>
    <w:rsid w:val="00074FE8"/>
    <w:rsid w:val="000A066D"/>
    <w:rsid w:val="000C7EC7"/>
    <w:rsid w:val="00162F87"/>
    <w:rsid w:val="00202F09"/>
    <w:rsid w:val="002F4A04"/>
    <w:rsid w:val="00427E36"/>
    <w:rsid w:val="00432776"/>
    <w:rsid w:val="004C1197"/>
    <w:rsid w:val="00616636"/>
    <w:rsid w:val="006D0326"/>
    <w:rsid w:val="0077122A"/>
    <w:rsid w:val="00801F3F"/>
    <w:rsid w:val="00987C3F"/>
    <w:rsid w:val="00A267AA"/>
    <w:rsid w:val="00A27333"/>
    <w:rsid w:val="00CA3343"/>
    <w:rsid w:val="00E755BA"/>
    <w:rsid w:val="00E77836"/>
    <w:rsid w:val="00E87710"/>
    <w:rsid w:val="00F937EC"/>
    <w:rsid w:val="00FB191C"/>
    <w:rsid w:val="00FB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24B07A59"/>
  <w15:docId w15:val="{729DCA19-70D4-4636-A370-47144705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771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49439">
      <w:marLeft w:val="0"/>
      <w:marRight w:val="0"/>
      <w:marTop w:val="0"/>
      <w:marBottom w:val="0"/>
      <w:divBdr>
        <w:top w:val="none" w:sz="0" w:space="0" w:color="auto"/>
        <w:left w:val="none" w:sz="0" w:space="0" w:color="auto"/>
        <w:bottom w:val="none" w:sz="0" w:space="0" w:color="auto"/>
        <w:right w:val="none" w:sz="0" w:space="0" w:color="auto"/>
      </w:divBdr>
      <w:divsChild>
        <w:div w:id="357776117">
          <w:marLeft w:val="0"/>
          <w:marRight w:val="0"/>
          <w:marTop w:val="0"/>
          <w:marBottom w:val="0"/>
          <w:divBdr>
            <w:top w:val="none" w:sz="0" w:space="0" w:color="auto"/>
            <w:left w:val="none" w:sz="0" w:space="0" w:color="auto"/>
            <w:bottom w:val="none" w:sz="0" w:space="0" w:color="auto"/>
            <w:right w:val="none" w:sz="0" w:space="0" w:color="auto"/>
          </w:divBdr>
        </w:div>
        <w:div w:id="1673557552">
          <w:marLeft w:val="0"/>
          <w:marRight w:val="0"/>
          <w:marTop w:val="0"/>
          <w:marBottom w:val="0"/>
          <w:divBdr>
            <w:top w:val="none" w:sz="0" w:space="0" w:color="auto"/>
            <w:left w:val="none" w:sz="0" w:space="0" w:color="auto"/>
            <w:bottom w:val="none" w:sz="0" w:space="0" w:color="auto"/>
            <w:right w:val="none" w:sz="0" w:space="0" w:color="auto"/>
          </w:divBdr>
        </w:div>
        <w:div w:id="1194417328">
          <w:marLeft w:val="0"/>
          <w:marRight w:val="0"/>
          <w:marTop w:val="0"/>
          <w:marBottom w:val="0"/>
          <w:divBdr>
            <w:top w:val="none" w:sz="0" w:space="0" w:color="auto"/>
            <w:left w:val="none" w:sz="0" w:space="0" w:color="auto"/>
            <w:bottom w:val="none" w:sz="0" w:space="0" w:color="auto"/>
            <w:right w:val="none" w:sz="0" w:space="0" w:color="auto"/>
          </w:divBdr>
        </w:div>
        <w:div w:id="1880630485">
          <w:marLeft w:val="0"/>
          <w:marRight w:val="0"/>
          <w:marTop w:val="0"/>
          <w:marBottom w:val="0"/>
          <w:divBdr>
            <w:top w:val="none" w:sz="0" w:space="0" w:color="auto"/>
            <w:left w:val="none" w:sz="0" w:space="0" w:color="auto"/>
            <w:bottom w:val="none" w:sz="0" w:space="0" w:color="auto"/>
            <w:right w:val="none" w:sz="0" w:space="0" w:color="auto"/>
          </w:divBdr>
        </w:div>
        <w:div w:id="131677920">
          <w:marLeft w:val="0"/>
          <w:marRight w:val="0"/>
          <w:marTop w:val="0"/>
          <w:marBottom w:val="0"/>
          <w:divBdr>
            <w:top w:val="none" w:sz="0" w:space="0" w:color="auto"/>
            <w:left w:val="none" w:sz="0" w:space="0" w:color="auto"/>
            <w:bottom w:val="none" w:sz="0" w:space="0" w:color="auto"/>
            <w:right w:val="none" w:sz="0" w:space="0" w:color="auto"/>
          </w:divBdr>
        </w:div>
        <w:div w:id="1031222433">
          <w:marLeft w:val="0"/>
          <w:marRight w:val="0"/>
          <w:marTop w:val="0"/>
          <w:marBottom w:val="0"/>
          <w:divBdr>
            <w:top w:val="none" w:sz="0" w:space="0" w:color="auto"/>
            <w:left w:val="none" w:sz="0" w:space="0" w:color="auto"/>
            <w:bottom w:val="none" w:sz="0" w:space="0" w:color="auto"/>
            <w:right w:val="none" w:sz="0" w:space="0" w:color="auto"/>
          </w:divBdr>
        </w:div>
        <w:div w:id="253439576">
          <w:marLeft w:val="0"/>
          <w:marRight w:val="0"/>
          <w:marTop w:val="0"/>
          <w:marBottom w:val="0"/>
          <w:divBdr>
            <w:top w:val="none" w:sz="0" w:space="0" w:color="auto"/>
            <w:left w:val="none" w:sz="0" w:space="0" w:color="auto"/>
            <w:bottom w:val="none" w:sz="0" w:space="0" w:color="auto"/>
            <w:right w:val="none" w:sz="0" w:space="0" w:color="auto"/>
          </w:divBdr>
        </w:div>
        <w:div w:id="2134665684">
          <w:marLeft w:val="0"/>
          <w:marRight w:val="0"/>
          <w:marTop w:val="0"/>
          <w:marBottom w:val="0"/>
          <w:divBdr>
            <w:top w:val="none" w:sz="0" w:space="0" w:color="auto"/>
            <w:left w:val="none" w:sz="0" w:space="0" w:color="auto"/>
            <w:bottom w:val="none" w:sz="0" w:space="0" w:color="auto"/>
            <w:right w:val="none" w:sz="0" w:space="0" w:color="auto"/>
          </w:divBdr>
        </w:div>
        <w:div w:id="132673747">
          <w:marLeft w:val="0"/>
          <w:marRight w:val="0"/>
          <w:marTop w:val="0"/>
          <w:marBottom w:val="0"/>
          <w:divBdr>
            <w:top w:val="none" w:sz="0" w:space="0" w:color="auto"/>
            <w:left w:val="none" w:sz="0" w:space="0" w:color="auto"/>
            <w:bottom w:val="none" w:sz="0" w:space="0" w:color="auto"/>
            <w:right w:val="none" w:sz="0" w:space="0" w:color="auto"/>
          </w:divBdr>
        </w:div>
        <w:div w:id="1973513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5B572-F5BA-4FD4-AC16-84217FD7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6495</Words>
  <Characters>37023</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Daley (s)</dc:creator>
  <cp:lastModifiedBy>Eric Daley (s)</cp:lastModifiedBy>
  <cp:revision>2</cp:revision>
  <dcterms:created xsi:type="dcterms:W3CDTF">2022-06-15T18:17:00Z</dcterms:created>
  <dcterms:modified xsi:type="dcterms:W3CDTF">2022-06-15T18:17:00Z</dcterms:modified>
</cp:coreProperties>
</file>