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51966" w14:textId="77777777" w:rsidR="00613A7D" w:rsidRPr="003430D4" w:rsidRDefault="00613A7D" w:rsidP="003430D4">
      <w:pPr>
        <w:spacing w:after="0" w:line="276" w:lineRule="auto"/>
        <w:divId w:val="1209533321"/>
        <w:rPr>
          <w:rFonts w:ascii="Arial" w:eastAsia="Times New Roman" w:hAnsi="Arial" w:cs="Arial"/>
          <w:b/>
          <w:bCs/>
          <w:sz w:val="30"/>
          <w:szCs w:val="30"/>
          <w:lang w:val="en"/>
        </w:rPr>
      </w:pPr>
      <w:r w:rsidRPr="003430D4">
        <w:rPr>
          <w:rFonts w:ascii="Arial" w:eastAsia="Times New Roman" w:hAnsi="Arial" w:cs="Arial"/>
          <w:b/>
          <w:bCs/>
          <w:sz w:val="30"/>
          <w:szCs w:val="30"/>
          <w:lang w:val="en"/>
        </w:rPr>
        <w:t>Protocol for the Examination of Plasma Cell Malignancies and Immunoglobulin Deposition Related Disorders</w:t>
      </w:r>
    </w:p>
    <w:p w14:paraId="7C6C4348" w14:textId="77777777" w:rsidR="00613A7D" w:rsidRDefault="00613A7D" w:rsidP="003430D4">
      <w:pPr>
        <w:spacing w:after="0" w:line="276" w:lineRule="auto"/>
        <w:divId w:val="837040075"/>
        <w:rPr>
          <w:rFonts w:ascii="Arial" w:eastAsia="Times New Roman" w:hAnsi="Arial" w:cs="Arial"/>
          <w:sz w:val="20"/>
          <w:szCs w:val="20"/>
          <w:lang w:val="en"/>
        </w:rPr>
      </w:pPr>
      <w:r>
        <w:rPr>
          <w:rFonts w:ascii="Arial" w:eastAsia="Times New Roman" w:hAnsi="Arial" w:cs="Arial"/>
          <w:b/>
          <w:bCs/>
          <w:sz w:val="20"/>
          <w:szCs w:val="20"/>
          <w:lang w:val="en"/>
        </w:rPr>
        <w:t xml:space="preserve">Version: </w:t>
      </w:r>
      <w:r>
        <w:rPr>
          <w:rFonts w:ascii="Arial" w:eastAsia="Times New Roman" w:hAnsi="Arial" w:cs="Arial"/>
          <w:sz w:val="20"/>
          <w:szCs w:val="20"/>
          <w:lang w:val="en"/>
        </w:rPr>
        <w:t>1.0.0.1</w:t>
      </w:r>
    </w:p>
    <w:p w14:paraId="605E0A34" w14:textId="77777777" w:rsidR="00613A7D" w:rsidRDefault="00613A7D" w:rsidP="003430D4">
      <w:pPr>
        <w:spacing w:after="0" w:line="276" w:lineRule="auto"/>
        <w:divId w:val="1838184453"/>
        <w:rPr>
          <w:rFonts w:ascii="Arial" w:eastAsia="Times New Roman" w:hAnsi="Arial" w:cs="Arial"/>
          <w:sz w:val="20"/>
          <w:szCs w:val="20"/>
          <w:lang w:val="en"/>
        </w:rPr>
      </w:pPr>
      <w:r>
        <w:rPr>
          <w:rFonts w:ascii="Arial" w:eastAsia="Times New Roman" w:hAnsi="Arial" w:cs="Arial"/>
          <w:b/>
          <w:bCs/>
          <w:sz w:val="20"/>
          <w:szCs w:val="20"/>
          <w:lang w:val="en"/>
        </w:rPr>
        <w:t xml:space="preserve">Protocol Posting Date: </w:t>
      </w:r>
      <w:r>
        <w:rPr>
          <w:rFonts w:ascii="Arial" w:eastAsia="Times New Roman" w:hAnsi="Arial" w:cs="Arial"/>
          <w:sz w:val="20"/>
          <w:szCs w:val="20"/>
          <w:lang w:val="en"/>
        </w:rPr>
        <w:t xml:space="preserve">September 2025 </w:t>
      </w:r>
    </w:p>
    <w:p w14:paraId="12BA6035" w14:textId="77777777" w:rsidR="00613A7D" w:rsidRDefault="00613A7D" w:rsidP="003430D4">
      <w:pPr>
        <w:spacing w:after="0" w:line="276" w:lineRule="auto"/>
        <w:divId w:val="181553461"/>
        <w:rPr>
          <w:rFonts w:ascii="Arial" w:eastAsia="Times New Roman" w:hAnsi="Arial" w:cs="Arial"/>
          <w:sz w:val="20"/>
          <w:szCs w:val="20"/>
          <w:lang w:val="en"/>
        </w:rPr>
      </w:pPr>
      <w:r>
        <w:rPr>
          <w:rFonts w:ascii="Arial" w:eastAsia="Times New Roman" w:hAnsi="Arial" w:cs="Arial"/>
          <w:sz w:val="20"/>
          <w:szCs w:val="20"/>
          <w:lang w:val="en"/>
        </w:rPr>
        <w:t>The use of this protocol is recommended for clinical care purposes but is not required for accreditation purposes.</w:t>
      </w:r>
    </w:p>
    <w:p w14:paraId="130999A3" w14:textId="77777777" w:rsidR="00613A7D" w:rsidRDefault="00613A7D" w:rsidP="003430D4">
      <w:pPr>
        <w:pStyle w:val="NormalWeb"/>
        <w:spacing w:before="0" w:beforeAutospacing="0" w:after="0" w:afterAutospacing="0" w:line="276" w:lineRule="auto"/>
        <w:divId w:val="1741711125"/>
        <w:rPr>
          <w:rFonts w:ascii="Arial" w:hAnsi="Arial" w:cs="Arial"/>
          <w:sz w:val="20"/>
          <w:szCs w:val="20"/>
          <w:lang w:val="en"/>
        </w:rPr>
      </w:pPr>
      <w:r>
        <w:rPr>
          <w:rFonts w:ascii="Arial" w:hAnsi="Arial" w:cs="Arial"/>
          <w:sz w:val="20"/>
          <w:szCs w:val="20"/>
          <w:lang w:val="en"/>
        </w:rPr>
        <w:t>This protocol applies to plasma cell malignancies and immunoglobulin deposition related disorders involving bone marrow, blood, lymph node, extranodal/mucosal site, and any other anatomic site.</w:t>
      </w:r>
    </w:p>
    <w:p w14:paraId="537CA551" w14:textId="77777777" w:rsidR="003430D4" w:rsidRDefault="003430D4" w:rsidP="003430D4">
      <w:pPr>
        <w:pStyle w:val="NormalWeb"/>
        <w:spacing w:before="0" w:beforeAutospacing="0" w:after="0" w:afterAutospacing="0" w:line="276" w:lineRule="auto"/>
        <w:divId w:val="1741711125"/>
        <w:rPr>
          <w:rFonts w:ascii="Arial" w:hAnsi="Arial" w:cs="Arial"/>
          <w:sz w:val="20"/>
          <w:szCs w:val="20"/>
          <w:lang w:val="en"/>
        </w:rPr>
      </w:pPr>
    </w:p>
    <w:p w14:paraId="7257C785" w14:textId="77777777" w:rsidR="00613A7D" w:rsidRDefault="00613A7D" w:rsidP="003430D4">
      <w:pPr>
        <w:spacing w:after="0" w:line="276" w:lineRule="auto"/>
        <w:divId w:val="1741711125"/>
        <w:rPr>
          <w:rFonts w:ascii="Arial" w:hAnsi="Arial" w:cs="Arial"/>
          <w:sz w:val="20"/>
          <w:szCs w:val="20"/>
          <w:lang w:val="en"/>
        </w:rPr>
      </w:pPr>
      <w:r>
        <w:rPr>
          <w:rStyle w:val="Strong"/>
          <w:rFonts w:ascii="Arial" w:hAnsi="Arial" w:cs="Arial"/>
          <w:sz w:val="20"/>
          <w:szCs w:val="20"/>
          <w:lang w:val="en"/>
        </w:rPr>
        <w:t>The following tumor types should be reported using this protocol:</w:t>
      </w:r>
    </w:p>
    <w:tbl>
      <w:tblPr>
        <w:tblW w:w="5000" w:type="pct"/>
        <w:tblCellMar>
          <w:top w:w="15" w:type="dxa"/>
          <w:left w:w="15" w:type="dxa"/>
          <w:bottom w:w="15" w:type="dxa"/>
          <w:right w:w="15" w:type="dxa"/>
        </w:tblCellMar>
        <w:tblLook w:val="04A0" w:firstRow="1" w:lastRow="0" w:firstColumn="1" w:lastColumn="0" w:noHBand="0" w:noVBand="1"/>
      </w:tblPr>
      <w:tblGrid>
        <w:gridCol w:w="9576"/>
      </w:tblGrid>
      <w:tr w:rsidR="003E28EC" w:rsidRPr="003430D4" w14:paraId="675B53D2" w14:textId="77777777" w:rsidTr="003430D4">
        <w:trPr>
          <w:divId w:val="1741711125"/>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2C8E3A32" w14:textId="77777777" w:rsidR="00613A7D" w:rsidRPr="003430D4" w:rsidRDefault="00613A7D" w:rsidP="003430D4">
            <w:pPr>
              <w:spacing w:after="0" w:line="276" w:lineRule="auto"/>
              <w:rPr>
                <w:rFonts w:ascii="Arial" w:hAnsi="Arial" w:cs="Arial"/>
                <w:sz w:val="20"/>
                <w:szCs w:val="20"/>
              </w:rPr>
            </w:pPr>
            <w:r w:rsidRPr="003430D4">
              <w:rPr>
                <w:rStyle w:val="Strong"/>
                <w:rFonts w:ascii="Arial" w:hAnsi="Arial" w:cs="Arial"/>
                <w:sz w:val="20"/>
                <w:szCs w:val="20"/>
              </w:rPr>
              <w:t>Tumor Type</w:t>
            </w:r>
          </w:p>
        </w:tc>
      </w:tr>
      <w:tr w:rsidR="003E28EC" w:rsidRPr="003430D4" w14:paraId="14321507" w14:textId="77777777" w:rsidTr="003430D4">
        <w:trPr>
          <w:divId w:val="1741711125"/>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ABA051" w14:textId="77777777" w:rsidR="00613A7D" w:rsidRPr="003430D4" w:rsidRDefault="00613A7D" w:rsidP="003430D4">
            <w:pPr>
              <w:spacing w:after="0" w:line="276" w:lineRule="auto"/>
              <w:rPr>
                <w:rFonts w:ascii="Arial" w:hAnsi="Arial" w:cs="Arial"/>
                <w:sz w:val="20"/>
                <w:szCs w:val="20"/>
              </w:rPr>
            </w:pPr>
            <w:r w:rsidRPr="003430D4">
              <w:rPr>
                <w:rFonts w:ascii="Arial" w:hAnsi="Arial" w:cs="Arial"/>
                <w:sz w:val="20"/>
                <w:szCs w:val="20"/>
              </w:rPr>
              <w:t>Plasma cell neoplasms including plasma cell myeloma/ multiple myeloma, Smoldering (asymptomatic) myeloma, Solitary plasmacytoma of bone, Extramedullary plasmacytoma, Plasma cell leukemia  </w:t>
            </w:r>
          </w:p>
        </w:tc>
      </w:tr>
      <w:tr w:rsidR="003E28EC" w:rsidRPr="003430D4" w14:paraId="78433B4A" w14:textId="77777777" w:rsidTr="003430D4">
        <w:trPr>
          <w:divId w:val="1741711125"/>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5D5999" w14:textId="77777777" w:rsidR="00613A7D" w:rsidRPr="003430D4" w:rsidRDefault="00613A7D" w:rsidP="003430D4">
            <w:pPr>
              <w:spacing w:after="0" w:line="276" w:lineRule="auto"/>
              <w:rPr>
                <w:rFonts w:ascii="Arial" w:hAnsi="Arial" w:cs="Arial"/>
                <w:sz w:val="20"/>
                <w:szCs w:val="20"/>
              </w:rPr>
            </w:pPr>
            <w:r w:rsidRPr="003430D4">
              <w:rPr>
                <w:rFonts w:ascii="Arial" w:hAnsi="Arial" w:cs="Arial"/>
                <w:sz w:val="20"/>
                <w:szCs w:val="20"/>
              </w:rPr>
              <w:t>Immunoglobulin-related (AL) amyloidosis including Systemic AL amyloidosis, Localized AL amyloidosis, Heavy chain amyloidosis </w:t>
            </w:r>
          </w:p>
        </w:tc>
      </w:tr>
      <w:tr w:rsidR="003E28EC" w:rsidRPr="003430D4" w14:paraId="186804C7" w14:textId="77777777" w:rsidTr="003430D4">
        <w:trPr>
          <w:divId w:val="1741711125"/>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4677A0" w14:textId="77777777" w:rsidR="00613A7D" w:rsidRPr="003430D4" w:rsidRDefault="00613A7D" w:rsidP="003430D4">
            <w:pPr>
              <w:spacing w:after="0" w:line="276" w:lineRule="auto"/>
              <w:rPr>
                <w:rFonts w:ascii="Arial" w:hAnsi="Arial" w:cs="Arial"/>
                <w:sz w:val="20"/>
                <w:szCs w:val="20"/>
              </w:rPr>
            </w:pPr>
            <w:r w:rsidRPr="003430D4">
              <w:rPr>
                <w:rFonts w:ascii="Arial" w:hAnsi="Arial" w:cs="Arial"/>
                <w:sz w:val="20"/>
                <w:szCs w:val="20"/>
              </w:rPr>
              <w:t>Monoclonal immunoglobulin deposition disease including Light chain deposition disease, Light and heavy chain deposition disease, Heavy chain deposition disease </w:t>
            </w:r>
          </w:p>
        </w:tc>
      </w:tr>
      <w:tr w:rsidR="003E28EC" w:rsidRPr="003430D4" w14:paraId="3A7566AE" w14:textId="77777777" w:rsidTr="003430D4">
        <w:trPr>
          <w:divId w:val="1741711125"/>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8BFCFD" w14:textId="77777777" w:rsidR="00613A7D" w:rsidRPr="003430D4" w:rsidRDefault="00613A7D" w:rsidP="003430D4">
            <w:pPr>
              <w:spacing w:after="0" w:line="276" w:lineRule="auto"/>
              <w:rPr>
                <w:rFonts w:ascii="Arial" w:hAnsi="Arial" w:cs="Arial"/>
                <w:sz w:val="20"/>
                <w:szCs w:val="20"/>
              </w:rPr>
            </w:pPr>
            <w:r w:rsidRPr="003430D4">
              <w:rPr>
                <w:rFonts w:ascii="Arial" w:hAnsi="Arial" w:cs="Arial"/>
                <w:sz w:val="20"/>
                <w:szCs w:val="20"/>
              </w:rPr>
              <w:t>Heavy chain diseases including Mu heavy chain disease, Gamma heavy chain disease, Alpha heavy chain disease </w:t>
            </w:r>
          </w:p>
        </w:tc>
      </w:tr>
    </w:tbl>
    <w:p w14:paraId="44F0E2D9" w14:textId="77777777" w:rsidR="00613A7D" w:rsidRPr="003430D4" w:rsidRDefault="00613A7D" w:rsidP="003430D4">
      <w:pPr>
        <w:spacing w:after="0" w:line="276" w:lineRule="auto"/>
        <w:divId w:val="1741711125"/>
        <w:rPr>
          <w:rFonts w:ascii="Arial" w:hAnsi="Arial" w:cs="Arial"/>
          <w:sz w:val="20"/>
          <w:szCs w:val="20"/>
          <w:lang w:val="en"/>
        </w:rPr>
      </w:pPr>
      <w:r w:rsidRPr="003430D4">
        <w:rPr>
          <w:rStyle w:val="Strong"/>
          <w:rFonts w:ascii="Arial" w:hAnsi="Arial" w:cs="Arial"/>
          <w:sz w:val="20"/>
          <w:szCs w:val="20"/>
          <w:lang w:val="en"/>
        </w:rPr>
        <w:t> </w:t>
      </w:r>
    </w:p>
    <w:p w14:paraId="683B7D2A" w14:textId="77777777" w:rsidR="00613A7D" w:rsidRPr="003430D4" w:rsidRDefault="00613A7D" w:rsidP="003430D4">
      <w:pPr>
        <w:spacing w:after="0" w:line="276" w:lineRule="auto"/>
        <w:divId w:val="1741711125"/>
        <w:rPr>
          <w:rFonts w:ascii="Arial" w:hAnsi="Arial" w:cs="Arial"/>
          <w:sz w:val="20"/>
          <w:szCs w:val="20"/>
          <w:lang w:val="en"/>
        </w:rPr>
      </w:pPr>
      <w:r w:rsidRPr="003430D4">
        <w:rPr>
          <w:rStyle w:val="Strong"/>
          <w:rFonts w:ascii="Arial" w:hAnsi="Arial" w:cs="Arial"/>
          <w:sz w:val="20"/>
          <w:szCs w:val="20"/>
          <w:lang w:val="en"/>
        </w:rPr>
        <w:t>The following tumor types should NOT be reported using this protocol:</w:t>
      </w:r>
    </w:p>
    <w:tbl>
      <w:tblPr>
        <w:tblW w:w="5000" w:type="pct"/>
        <w:tblCellMar>
          <w:top w:w="15" w:type="dxa"/>
          <w:left w:w="15" w:type="dxa"/>
          <w:bottom w:w="15" w:type="dxa"/>
          <w:right w:w="15" w:type="dxa"/>
        </w:tblCellMar>
        <w:tblLook w:val="04A0" w:firstRow="1" w:lastRow="0" w:firstColumn="1" w:lastColumn="0" w:noHBand="0" w:noVBand="1"/>
      </w:tblPr>
      <w:tblGrid>
        <w:gridCol w:w="9576"/>
      </w:tblGrid>
      <w:tr w:rsidR="003E28EC" w:rsidRPr="003430D4" w14:paraId="5172195C" w14:textId="77777777" w:rsidTr="003430D4">
        <w:trPr>
          <w:divId w:val="1741711125"/>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4D3DA865" w14:textId="77777777" w:rsidR="00613A7D" w:rsidRPr="003430D4" w:rsidRDefault="00613A7D" w:rsidP="003430D4">
            <w:pPr>
              <w:spacing w:after="0" w:line="276" w:lineRule="auto"/>
              <w:rPr>
                <w:rFonts w:ascii="Arial" w:hAnsi="Arial" w:cs="Arial"/>
                <w:sz w:val="20"/>
                <w:szCs w:val="20"/>
              </w:rPr>
            </w:pPr>
            <w:r w:rsidRPr="003430D4">
              <w:rPr>
                <w:rStyle w:val="Strong"/>
                <w:rFonts w:ascii="Arial" w:hAnsi="Arial" w:cs="Arial"/>
                <w:sz w:val="20"/>
                <w:szCs w:val="20"/>
              </w:rPr>
              <w:t>Tumor Type</w:t>
            </w:r>
          </w:p>
        </w:tc>
      </w:tr>
      <w:tr w:rsidR="003E28EC" w:rsidRPr="003430D4" w14:paraId="3FA18143" w14:textId="77777777" w:rsidTr="003430D4">
        <w:trPr>
          <w:divId w:val="1741711125"/>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43C321" w14:textId="77777777" w:rsidR="00613A7D" w:rsidRPr="003430D4" w:rsidRDefault="00613A7D" w:rsidP="003430D4">
            <w:pPr>
              <w:spacing w:after="0" w:line="276" w:lineRule="auto"/>
              <w:rPr>
                <w:rFonts w:ascii="Arial" w:hAnsi="Arial" w:cs="Arial"/>
                <w:sz w:val="20"/>
                <w:szCs w:val="20"/>
              </w:rPr>
            </w:pPr>
            <w:r w:rsidRPr="003430D4">
              <w:rPr>
                <w:rFonts w:ascii="Arial" w:hAnsi="Arial" w:cs="Arial"/>
                <w:sz w:val="20"/>
                <w:szCs w:val="20"/>
              </w:rPr>
              <w:t>Monoclonal gammopathies including cold agglutinin disease, IgM monoclonal gammopathy of undetermined significance, Non-IgM monoclonal gammopathy of undetermined significance</w:t>
            </w:r>
          </w:p>
        </w:tc>
      </w:tr>
      <w:tr w:rsidR="003E28EC" w:rsidRPr="003430D4" w14:paraId="45E69A4F" w14:textId="77777777" w:rsidTr="003430D4">
        <w:trPr>
          <w:divId w:val="1741711125"/>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E8AAA0" w14:textId="77777777" w:rsidR="00613A7D" w:rsidRPr="003430D4" w:rsidRDefault="00613A7D" w:rsidP="003430D4">
            <w:pPr>
              <w:spacing w:after="0" w:line="276" w:lineRule="auto"/>
              <w:rPr>
                <w:rFonts w:ascii="Arial" w:hAnsi="Arial" w:cs="Arial"/>
                <w:sz w:val="20"/>
                <w:szCs w:val="20"/>
              </w:rPr>
            </w:pPr>
            <w:proofErr w:type="spellStart"/>
            <w:r w:rsidRPr="003430D4">
              <w:rPr>
                <w:rFonts w:ascii="Arial" w:hAnsi="Arial" w:cs="Arial"/>
                <w:sz w:val="20"/>
                <w:szCs w:val="20"/>
              </w:rPr>
              <w:t>Plasmablastic</w:t>
            </w:r>
            <w:proofErr w:type="spellEnd"/>
            <w:r w:rsidRPr="003430D4">
              <w:rPr>
                <w:rFonts w:ascii="Arial" w:hAnsi="Arial" w:cs="Arial"/>
                <w:sz w:val="20"/>
                <w:szCs w:val="20"/>
              </w:rPr>
              <w:t xml:space="preserve"> lymphoma (use Precursor and Mature Lymphoid malignancies protocol)</w:t>
            </w:r>
          </w:p>
        </w:tc>
      </w:tr>
    </w:tbl>
    <w:p w14:paraId="26D4A478" w14:textId="4D5286C0" w:rsidR="00613A7D" w:rsidRDefault="00613A7D" w:rsidP="003430D4">
      <w:pPr>
        <w:spacing w:after="0" w:line="276" w:lineRule="auto"/>
        <w:divId w:val="1741711125"/>
        <w:rPr>
          <w:rFonts w:ascii="Arial" w:hAnsi="Arial" w:cs="Arial"/>
          <w:sz w:val="20"/>
          <w:szCs w:val="20"/>
          <w:lang w:val="en"/>
        </w:rPr>
      </w:pPr>
      <w:r>
        <w:rPr>
          <w:rFonts w:ascii="Arial" w:hAnsi="Arial" w:cs="Arial"/>
          <w:sz w:val="20"/>
          <w:szCs w:val="20"/>
          <w:lang w:val="en"/>
        </w:rPr>
        <w:t> </w:t>
      </w:r>
    </w:p>
    <w:p w14:paraId="6C4B76E7" w14:textId="77777777" w:rsidR="003430D4" w:rsidRPr="003430D4" w:rsidRDefault="003430D4" w:rsidP="003430D4">
      <w:pPr>
        <w:spacing w:after="0" w:line="276" w:lineRule="auto"/>
        <w:divId w:val="175777914"/>
        <w:rPr>
          <w:rFonts w:ascii="Arial" w:eastAsia="Times New Roman" w:hAnsi="Arial" w:cs="Arial"/>
          <w:b/>
          <w:bCs/>
          <w:sz w:val="20"/>
          <w:szCs w:val="20"/>
          <w:u w:val="single"/>
          <w:lang w:val="en"/>
        </w:rPr>
      </w:pPr>
      <w:r w:rsidRPr="003430D4">
        <w:rPr>
          <w:rFonts w:ascii="Arial" w:eastAsia="Times New Roman" w:hAnsi="Arial" w:cs="Arial"/>
          <w:b/>
          <w:bCs/>
          <w:sz w:val="20"/>
          <w:szCs w:val="20"/>
          <w:u w:val="single"/>
          <w:lang w:val="en"/>
        </w:rPr>
        <w:t>Version Contributors</w:t>
      </w:r>
    </w:p>
    <w:p w14:paraId="261D72C2" w14:textId="77777777" w:rsidR="003430D4" w:rsidRPr="003430D4" w:rsidRDefault="003430D4" w:rsidP="003430D4">
      <w:pPr>
        <w:spacing w:after="0" w:line="276" w:lineRule="auto"/>
        <w:divId w:val="175777914"/>
        <w:rPr>
          <w:rFonts w:ascii="Arial" w:eastAsia="Times New Roman" w:hAnsi="Arial" w:cs="Arial"/>
          <w:b/>
          <w:bCs/>
          <w:sz w:val="20"/>
          <w:szCs w:val="20"/>
          <w:lang w:val="en"/>
        </w:rPr>
      </w:pPr>
      <w:r w:rsidRPr="003430D4">
        <w:rPr>
          <w:rFonts w:ascii="Arial" w:eastAsia="Times New Roman" w:hAnsi="Arial" w:cs="Arial"/>
          <w:b/>
          <w:bCs/>
          <w:sz w:val="20"/>
          <w:szCs w:val="20"/>
          <w:lang w:val="en"/>
        </w:rPr>
        <w:t xml:space="preserve">Cancer Committee Authors: </w:t>
      </w:r>
      <w:r w:rsidRPr="003430D4">
        <w:rPr>
          <w:rFonts w:ascii="Arial" w:eastAsia="Times New Roman" w:hAnsi="Arial" w:cs="Arial"/>
          <w:sz w:val="20"/>
          <w:szCs w:val="20"/>
          <w:lang w:val="en"/>
        </w:rPr>
        <w:t>Robert W. Allan, MD, FCAP*</w:t>
      </w:r>
    </w:p>
    <w:p w14:paraId="7936E652" w14:textId="52C83340" w:rsidR="00613A7D" w:rsidRDefault="003430D4" w:rsidP="003430D4">
      <w:pPr>
        <w:spacing w:after="0" w:line="276" w:lineRule="auto"/>
        <w:divId w:val="175777914"/>
        <w:rPr>
          <w:rFonts w:ascii="Arial" w:eastAsia="Times New Roman" w:hAnsi="Arial" w:cs="Arial"/>
          <w:sz w:val="24"/>
          <w:szCs w:val="24"/>
          <w:lang w:val="en"/>
        </w:rPr>
      </w:pPr>
      <w:r w:rsidRPr="003430D4">
        <w:rPr>
          <w:rFonts w:ascii="Arial" w:eastAsia="Times New Roman" w:hAnsi="Arial" w:cs="Arial"/>
          <w:b/>
          <w:bCs/>
          <w:sz w:val="20"/>
          <w:szCs w:val="20"/>
          <w:lang w:val="en"/>
        </w:rPr>
        <w:t xml:space="preserve">Other Expert Contributors: </w:t>
      </w:r>
      <w:r w:rsidRPr="003430D4">
        <w:rPr>
          <w:rFonts w:ascii="Arial" w:eastAsia="Times New Roman" w:hAnsi="Arial" w:cs="Arial"/>
          <w:sz w:val="20"/>
          <w:szCs w:val="20"/>
          <w:lang w:val="en"/>
        </w:rPr>
        <w:t>L. Jeffrey Medeiros, MD, Robert Seifert, MD, Samer Al-Quran, MD, Joseph D. Khoury, MD, Pei Lin, MD</w:t>
      </w:r>
    </w:p>
    <w:p w14:paraId="4A2EE148" w14:textId="3D33A523" w:rsidR="00613A7D" w:rsidRDefault="00613A7D" w:rsidP="003430D4">
      <w:pPr>
        <w:spacing w:after="0" w:line="276" w:lineRule="auto"/>
        <w:divId w:val="1192378137"/>
        <w:rPr>
          <w:rFonts w:ascii="Arial" w:eastAsia="Times New Roman" w:hAnsi="Arial" w:cs="Arial"/>
          <w:sz w:val="16"/>
          <w:szCs w:val="16"/>
          <w:lang w:val="en"/>
        </w:rPr>
      </w:pPr>
      <w:r>
        <w:rPr>
          <w:rFonts w:ascii="Arial" w:eastAsia="Times New Roman" w:hAnsi="Arial" w:cs="Arial"/>
          <w:sz w:val="16"/>
          <w:szCs w:val="16"/>
          <w:lang w:val="en"/>
        </w:rPr>
        <w:t>* Denotes primary author.</w:t>
      </w:r>
    </w:p>
    <w:p w14:paraId="69AAFDDE" w14:textId="77777777" w:rsidR="003430D4" w:rsidRDefault="003430D4" w:rsidP="003430D4">
      <w:pPr>
        <w:spacing w:after="0" w:line="276" w:lineRule="auto"/>
        <w:divId w:val="1192378137"/>
        <w:rPr>
          <w:rFonts w:ascii="Arial" w:eastAsia="Times New Roman" w:hAnsi="Arial" w:cs="Arial"/>
          <w:sz w:val="16"/>
          <w:szCs w:val="16"/>
          <w:lang w:val="en"/>
        </w:rPr>
      </w:pPr>
    </w:p>
    <w:p w14:paraId="03856CFD" w14:textId="77777777" w:rsidR="00613A7D" w:rsidRDefault="00613A7D" w:rsidP="003430D4">
      <w:pPr>
        <w:spacing w:after="0" w:line="276" w:lineRule="auto"/>
        <w:divId w:val="1208762302"/>
        <w:rPr>
          <w:rFonts w:ascii="Arial" w:eastAsia="Times New Roman" w:hAnsi="Arial" w:cs="Arial"/>
          <w:sz w:val="16"/>
          <w:szCs w:val="16"/>
          <w:lang w:val="en"/>
        </w:rPr>
      </w:pPr>
      <w:r>
        <w:rPr>
          <w:rFonts w:ascii="Arial" w:eastAsia="Times New Roman" w:hAnsi="Arial" w:cs="Arial"/>
          <w:sz w:val="16"/>
          <w:szCs w:val="16"/>
          <w:lang w:val="en"/>
        </w:rPr>
        <w:t xml:space="preserve">For any questions or comments, contact: </w:t>
      </w:r>
      <w:hyperlink r:id="rId7" w:history="1">
        <w:r>
          <w:rPr>
            <w:rStyle w:val="Hyperlink"/>
            <w:rFonts w:ascii="Arial" w:eastAsia="Times New Roman" w:hAnsi="Arial" w:cs="Arial"/>
            <w:sz w:val="16"/>
            <w:szCs w:val="16"/>
            <w:lang w:val="en"/>
          </w:rPr>
          <w:t>cancerprotocols@cap.org.</w:t>
        </w:r>
      </w:hyperlink>
    </w:p>
    <w:p w14:paraId="30B2D39E" w14:textId="77777777" w:rsidR="00613A7D" w:rsidRDefault="00613A7D" w:rsidP="003430D4">
      <w:pPr>
        <w:spacing w:after="0" w:line="276" w:lineRule="auto"/>
        <w:divId w:val="175777914"/>
        <w:rPr>
          <w:rFonts w:ascii="Arial" w:eastAsia="Times New Roman" w:hAnsi="Arial" w:cs="Arial"/>
          <w:sz w:val="24"/>
          <w:szCs w:val="24"/>
          <w:lang w:val="en"/>
        </w:rPr>
      </w:pPr>
    </w:p>
    <w:p w14:paraId="576D2698" w14:textId="77777777" w:rsidR="00613A7D" w:rsidRDefault="00613A7D" w:rsidP="003430D4">
      <w:pPr>
        <w:spacing w:after="0" w:line="276" w:lineRule="auto"/>
        <w:divId w:val="1761174459"/>
        <w:rPr>
          <w:rFonts w:ascii="Arial" w:eastAsia="Times New Roman" w:hAnsi="Arial" w:cs="Arial"/>
          <w:b/>
          <w:bCs/>
          <w:sz w:val="16"/>
          <w:szCs w:val="16"/>
          <w:u w:val="single"/>
          <w:lang w:val="en"/>
        </w:rPr>
      </w:pPr>
      <w:r>
        <w:rPr>
          <w:rFonts w:ascii="Arial" w:eastAsia="Times New Roman" w:hAnsi="Arial" w:cs="Arial"/>
          <w:b/>
          <w:bCs/>
          <w:sz w:val="16"/>
          <w:szCs w:val="16"/>
          <w:u w:val="single"/>
          <w:lang w:val="en"/>
        </w:rPr>
        <w:t>Glossary:</w:t>
      </w:r>
    </w:p>
    <w:p w14:paraId="116E7907" w14:textId="77777777" w:rsidR="00613A7D" w:rsidRDefault="00613A7D" w:rsidP="003430D4">
      <w:pPr>
        <w:spacing w:after="0" w:line="276" w:lineRule="auto"/>
        <w:divId w:val="828013108"/>
        <w:rPr>
          <w:rFonts w:ascii="Arial" w:eastAsia="Times New Roman" w:hAnsi="Arial" w:cs="Arial"/>
          <w:sz w:val="16"/>
          <w:szCs w:val="16"/>
          <w:lang w:val="en"/>
        </w:rPr>
      </w:pPr>
      <w:r>
        <w:rPr>
          <w:rFonts w:ascii="Arial" w:eastAsia="Times New Roman" w:hAnsi="Arial" w:cs="Arial"/>
          <w:b/>
          <w:bCs/>
          <w:sz w:val="16"/>
          <w:szCs w:val="16"/>
          <w:lang w:val="en"/>
        </w:rPr>
        <w:t xml:space="preserve">Author: </w:t>
      </w:r>
      <w:r>
        <w:rPr>
          <w:rFonts w:ascii="Arial" w:eastAsia="Times New Roman" w:hAnsi="Arial" w:cs="Arial"/>
          <w:sz w:val="16"/>
          <w:szCs w:val="16"/>
          <w:lang w:val="en"/>
        </w:rPr>
        <w:t xml:space="preserve">Expert who is a current member of the Cancer Committee, or an expert designated by the chair of the Cancer Committee. </w:t>
      </w:r>
    </w:p>
    <w:p w14:paraId="59152B6A" w14:textId="72084605" w:rsidR="003430D4" w:rsidRDefault="00613A7D" w:rsidP="003430D4">
      <w:pPr>
        <w:spacing w:after="0" w:line="276" w:lineRule="auto"/>
        <w:divId w:val="1040782601"/>
        <w:rPr>
          <w:rFonts w:ascii="Arial" w:eastAsia="Times New Roman" w:hAnsi="Arial" w:cs="Arial"/>
          <w:b/>
          <w:bCs/>
          <w:sz w:val="20"/>
          <w:szCs w:val="20"/>
          <w:lang w:val="en"/>
        </w:rPr>
      </w:pPr>
      <w:r>
        <w:rPr>
          <w:rFonts w:ascii="Arial" w:eastAsia="Times New Roman" w:hAnsi="Arial" w:cs="Arial"/>
          <w:b/>
          <w:bCs/>
          <w:sz w:val="16"/>
          <w:szCs w:val="16"/>
          <w:lang w:val="en"/>
        </w:rPr>
        <w:t xml:space="preserve">Expert Contributors: </w:t>
      </w:r>
      <w:r>
        <w:rPr>
          <w:rFonts w:ascii="Arial" w:eastAsia="Times New Roman" w:hAnsi="Arial" w:cs="Arial"/>
          <w:sz w:val="16"/>
          <w:szCs w:val="16"/>
          <w:lang w:val="en"/>
        </w:rPr>
        <w:t xml:space="preserve">Includes members of other CAP committees or external subject matter experts who contribute to the current </w:t>
      </w:r>
    </w:p>
    <w:p w14:paraId="4E325772" w14:textId="77777777" w:rsidR="00D8707A" w:rsidRDefault="00D8707A" w:rsidP="003430D4">
      <w:pPr>
        <w:spacing w:after="0" w:line="276" w:lineRule="auto"/>
        <w:divId w:val="185994258"/>
        <w:rPr>
          <w:rFonts w:ascii="Arial" w:eastAsia="Times New Roman" w:hAnsi="Arial" w:cs="Arial"/>
          <w:b/>
          <w:bCs/>
          <w:sz w:val="20"/>
          <w:szCs w:val="20"/>
          <w:lang w:val="en"/>
        </w:rPr>
      </w:pPr>
    </w:p>
    <w:p w14:paraId="7F4DD61B" w14:textId="3FCDE69F" w:rsidR="00613A7D" w:rsidRDefault="00613A7D" w:rsidP="003430D4">
      <w:pPr>
        <w:spacing w:after="0" w:line="276" w:lineRule="auto"/>
        <w:divId w:val="185994258"/>
        <w:rPr>
          <w:rFonts w:ascii="Arial" w:eastAsia="Times New Roman" w:hAnsi="Arial" w:cs="Arial"/>
          <w:b/>
          <w:bCs/>
          <w:sz w:val="20"/>
          <w:szCs w:val="20"/>
          <w:lang w:val="en"/>
        </w:rPr>
      </w:pPr>
      <w:r>
        <w:rPr>
          <w:rFonts w:ascii="Arial" w:eastAsia="Times New Roman" w:hAnsi="Arial" w:cs="Arial"/>
          <w:b/>
          <w:bCs/>
          <w:sz w:val="20"/>
          <w:szCs w:val="20"/>
          <w:lang w:val="en"/>
        </w:rPr>
        <w:t>Accreditation Requirements</w:t>
      </w:r>
    </w:p>
    <w:p w14:paraId="681BC9DC" w14:textId="77777777" w:rsidR="00613A7D" w:rsidRDefault="00613A7D" w:rsidP="003430D4">
      <w:pPr>
        <w:pStyle w:val="NormalWeb"/>
        <w:spacing w:before="0" w:beforeAutospacing="0" w:after="0" w:afterAutospacing="0" w:line="276" w:lineRule="auto"/>
        <w:divId w:val="462694469"/>
        <w:rPr>
          <w:rFonts w:ascii="Arial" w:hAnsi="Arial" w:cs="Arial"/>
          <w:sz w:val="20"/>
          <w:szCs w:val="20"/>
          <w:lang w:val="en"/>
        </w:rPr>
      </w:pPr>
      <w:r>
        <w:rPr>
          <w:rFonts w:ascii="Arial" w:hAnsi="Arial" w:cs="Arial"/>
          <w:sz w:val="20"/>
          <w:szCs w:val="20"/>
          <w:lang w:val="en"/>
        </w:rPr>
        <w:t>The use of this case summary is recommended for clinical care purposes but is not required for accreditation purposes. The core and conditional data elements are routinely reported. Non-core data elements are indicated with a plus sign (+) to allow for reporting information that may be of clinical value. </w:t>
      </w:r>
    </w:p>
    <w:p w14:paraId="600C2774" w14:textId="77777777" w:rsidR="003430D4" w:rsidRDefault="003430D4">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0D1BE719" w14:textId="7C518FF2" w:rsidR="00613A7D" w:rsidRDefault="00613A7D" w:rsidP="003430D4">
      <w:pPr>
        <w:spacing w:after="0" w:line="276" w:lineRule="auto"/>
        <w:divId w:val="1657996381"/>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lastRenderedPageBreak/>
        <w:t>Summary of Changes</w:t>
      </w:r>
    </w:p>
    <w:p w14:paraId="027D6C53" w14:textId="77777777" w:rsidR="00613A7D" w:rsidRDefault="00613A7D" w:rsidP="003430D4">
      <w:pPr>
        <w:pStyle w:val="NormalWeb"/>
        <w:spacing w:before="0" w:beforeAutospacing="0" w:after="0" w:afterAutospacing="0" w:line="276" w:lineRule="auto"/>
        <w:divId w:val="531767575"/>
        <w:rPr>
          <w:rFonts w:ascii="Arial" w:hAnsi="Arial" w:cs="Arial"/>
          <w:sz w:val="20"/>
          <w:szCs w:val="20"/>
          <w:lang w:val="en"/>
        </w:rPr>
      </w:pPr>
      <w:r>
        <w:rPr>
          <w:rStyle w:val="Strong"/>
          <w:rFonts w:ascii="Arial" w:hAnsi="Arial" w:cs="Arial"/>
          <w:sz w:val="20"/>
          <w:szCs w:val="20"/>
          <w:lang w:val="en"/>
        </w:rPr>
        <w:t>v 1.0.0.1</w:t>
      </w:r>
    </w:p>
    <w:p w14:paraId="20B14F25" w14:textId="1B91ABAE" w:rsidR="00613A7D" w:rsidRDefault="00CB77D1" w:rsidP="003430D4">
      <w:pPr>
        <w:pStyle w:val="NormalWeb"/>
        <w:numPr>
          <w:ilvl w:val="0"/>
          <w:numId w:val="1"/>
        </w:numPr>
        <w:spacing w:before="0" w:beforeAutospacing="0" w:after="0" w:afterAutospacing="0" w:line="276" w:lineRule="auto"/>
        <w:divId w:val="531767575"/>
        <w:rPr>
          <w:rFonts w:ascii="Arial" w:hAnsi="Arial" w:cs="Arial"/>
          <w:sz w:val="20"/>
          <w:szCs w:val="20"/>
          <w:lang w:val="en"/>
        </w:rPr>
      </w:pPr>
      <w:r>
        <w:rPr>
          <w:rFonts w:ascii="Arial" w:hAnsi="Arial" w:cs="Arial"/>
          <w:sz w:val="20"/>
          <w:szCs w:val="20"/>
          <w:lang w:val="en"/>
        </w:rPr>
        <w:t>eCP only m</w:t>
      </w:r>
      <w:r w:rsidR="00613A7D">
        <w:rPr>
          <w:rFonts w:ascii="Arial" w:hAnsi="Arial" w:cs="Arial"/>
          <w:sz w:val="20"/>
          <w:szCs w:val="20"/>
          <w:lang w:val="en"/>
        </w:rPr>
        <w:t xml:space="preserve">etadata and eCP </w:t>
      </w:r>
      <w:r>
        <w:rPr>
          <w:rFonts w:ascii="Arial" w:hAnsi="Arial" w:cs="Arial"/>
          <w:sz w:val="20"/>
          <w:szCs w:val="20"/>
          <w:lang w:val="en"/>
        </w:rPr>
        <w:t xml:space="preserve">only </w:t>
      </w:r>
      <w:r w:rsidR="00613A7D">
        <w:rPr>
          <w:rFonts w:ascii="Arial" w:hAnsi="Arial" w:cs="Arial"/>
          <w:sz w:val="20"/>
          <w:szCs w:val="20"/>
          <w:lang w:val="en"/>
        </w:rPr>
        <w:t>explanatory note electronic link updates</w:t>
      </w:r>
    </w:p>
    <w:p w14:paraId="4D36119D" w14:textId="77777777" w:rsidR="00613A7D" w:rsidRDefault="00613A7D" w:rsidP="003430D4">
      <w:pPr>
        <w:pageBreakBefore/>
        <w:spacing w:after="0" w:line="276" w:lineRule="auto"/>
        <w:divId w:val="308705222"/>
        <w:rPr>
          <w:rFonts w:ascii="Arial" w:eastAsia="Times New Roman" w:hAnsi="Arial" w:cs="Arial"/>
          <w:b/>
          <w:bCs/>
          <w:sz w:val="26"/>
          <w:szCs w:val="26"/>
          <w:lang w:val="en"/>
        </w:rPr>
      </w:pPr>
      <w:r>
        <w:rPr>
          <w:rFonts w:ascii="Arial" w:eastAsia="Times New Roman" w:hAnsi="Arial" w:cs="Arial"/>
          <w:b/>
          <w:bCs/>
          <w:sz w:val="26"/>
          <w:szCs w:val="26"/>
          <w:lang w:val="en"/>
        </w:rPr>
        <w:lastRenderedPageBreak/>
        <w:t>Reporting Template</w:t>
      </w:r>
    </w:p>
    <w:p w14:paraId="2E4E9658" w14:textId="77777777" w:rsidR="00613A7D" w:rsidRDefault="00613A7D" w:rsidP="003430D4">
      <w:pPr>
        <w:spacing w:after="0" w:line="276" w:lineRule="auto"/>
        <w:divId w:val="622998885"/>
        <w:rPr>
          <w:rFonts w:ascii="Arial" w:eastAsia="Times New Roman" w:hAnsi="Arial" w:cs="Arial"/>
          <w:sz w:val="20"/>
          <w:szCs w:val="20"/>
          <w:lang w:val="en"/>
        </w:rPr>
      </w:pPr>
      <w:r>
        <w:rPr>
          <w:rFonts w:ascii="Arial" w:eastAsia="Times New Roman" w:hAnsi="Arial" w:cs="Arial"/>
          <w:b/>
          <w:bCs/>
          <w:sz w:val="20"/>
          <w:szCs w:val="20"/>
          <w:lang w:val="en"/>
        </w:rPr>
        <w:t xml:space="preserve">Protocol Posting Date: </w:t>
      </w:r>
      <w:r>
        <w:rPr>
          <w:rFonts w:ascii="Arial" w:eastAsia="Times New Roman" w:hAnsi="Arial" w:cs="Arial"/>
          <w:sz w:val="20"/>
          <w:szCs w:val="20"/>
          <w:lang w:val="en"/>
        </w:rPr>
        <w:t xml:space="preserve">September 2025 </w:t>
      </w:r>
    </w:p>
    <w:p w14:paraId="17EA6D70" w14:textId="77777777" w:rsidR="00613A7D" w:rsidRDefault="00613A7D" w:rsidP="003430D4">
      <w:pPr>
        <w:spacing w:after="0" w:line="276" w:lineRule="auto"/>
        <w:divId w:val="1799106040"/>
        <w:rPr>
          <w:rFonts w:ascii="Arial" w:eastAsia="Times New Roman" w:hAnsi="Arial" w:cs="Arial"/>
          <w:b/>
          <w:bCs/>
          <w:sz w:val="20"/>
          <w:szCs w:val="20"/>
          <w:lang w:val="en"/>
        </w:rPr>
      </w:pPr>
      <w:r>
        <w:rPr>
          <w:rFonts w:ascii="Arial" w:eastAsia="Times New Roman" w:hAnsi="Arial" w:cs="Arial"/>
          <w:b/>
          <w:bCs/>
          <w:sz w:val="20"/>
          <w:szCs w:val="20"/>
          <w:lang w:val="en"/>
        </w:rPr>
        <w:t>Select a single response unless otherwise indicated.</w:t>
      </w:r>
    </w:p>
    <w:p w14:paraId="17750F66" w14:textId="77777777" w:rsidR="00613A7D" w:rsidRDefault="00613A7D" w:rsidP="003430D4">
      <w:pPr>
        <w:spacing w:after="0" w:line="276" w:lineRule="auto"/>
        <w:divId w:val="134762633"/>
        <w:rPr>
          <w:rFonts w:ascii="Arial" w:eastAsia="Times New Roman" w:hAnsi="Arial" w:cs="Arial"/>
          <w:b/>
          <w:bCs/>
          <w:sz w:val="20"/>
          <w:szCs w:val="20"/>
          <w:lang w:val="en"/>
        </w:rPr>
      </w:pPr>
      <w:r>
        <w:rPr>
          <w:rFonts w:ascii="Arial" w:eastAsia="Times New Roman" w:hAnsi="Arial" w:cs="Arial"/>
          <w:b/>
          <w:bCs/>
          <w:sz w:val="20"/>
          <w:szCs w:val="20"/>
          <w:lang w:val="en"/>
        </w:rPr>
        <w:t xml:space="preserve">CASE SUMMARY: (PLASMA CELL MALIGNANCIES AND IMMUNOGLOBULIN DEPOSITION RELATED DISORDERS: Targeted Biopsy, Resection, or Bone Marrow Sampling)  </w:t>
      </w:r>
    </w:p>
    <w:p w14:paraId="00DC67E4" w14:textId="77777777" w:rsidR="00613A7D" w:rsidRDefault="00613A7D" w:rsidP="003430D4">
      <w:pPr>
        <w:spacing w:after="0" w:line="276" w:lineRule="auto"/>
        <w:divId w:val="175777914"/>
        <w:rPr>
          <w:rFonts w:ascii="Arial" w:eastAsia="Times New Roman" w:hAnsi="Arial" w:cs="Arial"/>
          <w:sz w:val="24"/>
          <w:szCs w:val="24"/>
          <w:lang w:val="en"/>
        </w:rPr>
      </w:pPr>
    </w:p>
    <w:p w14:paraId="228A5345" w14:textId="77777777" w:rsidR="00613A7D" w:rsidRDefault="00613A7D" w:rsidP="003430D4">
      <w:pPr>
        <w:spacing w:after="0" w:line="276" w:lineRule="auto"/>
        <w:divId w:val="1191453261"/>
        <w:rPr>
          <w:rFonts w:ascii="Arial" w:eastAsia="Times New Roman" w:hAnsi="Arial" w:cs="Arial"/>
          <w:b/>
          <w:bCs/>
          <w:sz w:val="20"/>
          <w:szCs w:val="20"/>
          <w:lang w:val="en"/>
        </w:rPr>
      </w:pPr>
      <w:r>
        <w:rPr>
          <w:rFonts w:ascii="Arial" w:eastAsia="Times New Roman" w:hAnsi="Arial" w:cs="Arial"/>
          <w:b/>
          <w:bCs/>
          <w:sz w:val="20"/>
          <w:szCs w:val="20"/>
          <w:lang w:val="en"/>
        </w:rPr>
        <w:t xml:space="preserve">TUMOR  </w:t>
      </w:r>
    </w:p>
    <w:p w14:paraId="2FA955CF" w14:textId="77777777" w:rsidR="00613A7D" w:rsidRDefault="00613A7D" w:rsidP="003430D4">
      <w:pPr>
        <w:spacing w:after="0" w:line="276" w:lineRule="auto"/>
        <w:divId w:val="175777914"/>
        <w:rPr>
          <w:rFonts w:ascii="Arial" w:eastAsia="Times New Roman" w:hAnsi="Arial" w:cs="Arial"/>
          <w:sz w:val="24"/>
          <w:szCs w:val="24"/>
          <w:lang w:val="en"/>
        </w:rPr>
      </w:pPr>
    </w:p>
    <w:p w14:paraId="0E4DC014" w14:textId="77777777" w:rsidR="00613A7D" w:rsidRDefault="00613A7D" w:rsidP="003430D4">
      <w:pPr>
        <w:spacing w:after="0" w:line="276" w:lineRule="auto"/>
        <w:divId w:val="1906798309"/>
        <w:rPr>
          <w:rFonts w:ascii="Arial" w:eastAsia="Times New Roman" w:hAnsi="Arial" w:cs="Arial"/>
          <w:b/>
          <w:bCs/>
          <w:sz w:val="20"/>
          <w:szCs w:val="20"/>
          <w:lang w:val="en"/>
        </w:rPr>
      </w:pPr>
      <w:r>
        <w:rPr>
          <w:rFonts w:ascii="Arial" w:eastAsia="Times New Roman" w:hAnsi="Arial" w:cs="Arial"/>
          <w:b/>
          <w:bCs/>
          <w:sz w:val="20"/>
          <w:szCs w:val="20"/>
          <w:lang w:val="en"/>
        </w:rPr>
        <w:t xml:space="preserve">Site(s) of Tumor Involvement in Sample (Note </w:t>
      </w:r>
      <w:hyperlink w:anchor="N12278" w:tgtFrame="_top" w:history="1">
        <w:r>
          <w:rPr>
            <w:rStyle w:val="Hyperlink"/>
            <w:rFonts w:ascii="Arial" w:eastAsia="Times New Roman" w:hAnsi="Arial" w:cs="Arial"/>
            <w:b/>
            <w:bCs/>
            <w:sz w:val="20"/>
            <w:szCs w:val="20"/>
            <w:lang w:val="en"/>
          </w:rPr>
          <w:t>A</w:t>
        </w:r>
      </w:hyperlink>
      <w:r>
        <w:rPr>
          <w:rFonts w:ascii="Arial" w:eastAsia="Times New Roman" w:hAnsi="Arial" w:cs="Arial"/>
          <w:b/>
          <w:bCs/>
          <w:sz w:val="20"/>
          <w:szCs w:val="20"/>
          <w:lang w:val="en"/>
        </w:rPr>
        <w:t xml:space="preserve">) (select all that apply) </w:t>
      </w:r>
    </w:p>
    <w:p w14:paraId="57CE813D" w14:textId="77777777" w:rsidR="00613A7D" w:rsidRDefault="00613A7D" w:rsidP="003430D4">
      <w:pPr>
        <w:spacing w:after="0" w:line="276" w:lineRule="auto"/>
        <w:divId w:val="2006935824"/>
        <w:rPr>
          <w:rFonts w:ascii="Arial" w:eastAsia="Times New Roman" w:hAnsi="Arial" w:cs="Arial"/>
          <w:sz w:val="20"/>
          <w:szCs w:val="20"/>
          <w:lang w:val="en"/>
        </w:rPr>
      </w:pPr>
      <w:r>
        <w:rPr>
          <w:rFonts w:ascii="Arial" w:eastAsia="Times New Roman" w:hAnsi="Arial" w:cs="Arial"/>
          <w:sz w:val="20"/>
          <w:szCs w:val="20"/>
          <w:lang w:val="en"/>
        </w:rPr>
        <w:t xml:space="preserve">___ Bone marrow (non-targeted)  </w:t>
      </w:r>
    </w:p>
    <w:p w14:paraId="2840EBAC" w14:textId="77777777" w:rsidR="00613A7D" w:rsidRDefault="00613A7D" w:rsidP="003430D4">
      <w:pPr>
        <w:spacing w:after="0" w:line="276" w:lineRule="auto"/>
        <w:ind w:firstLine="240"/>
        <w:divId w:val="567763582"/>
        <w:rPr>
          <w:rFonts w:ascii="Arial" w:eastAsia="Times New Roman" w:hAnsi="Arial" w:cs="Arial"/>
          <w:b/>
          <w:bCs/>
          <w:sz w:val="20"/>
          <w:szCs w:val="20"/>
          <w:lang w:val="en"/>
        </w:rPr>
      </w:pPr>
      <w:r>
        <w:rPr>
          <w:rFonts w:ascii="Arial" w:eastAsia="Times New Roman" w:hAnsi="Arial" w:cs="Arial"/>
          <w:b/>
          <w:bCs/>
          <w:sz w:val="20"/>
          <w:szCs w:val="20"/>
          <w:lang w:val="en"/>
        </w:rPr>
        <w:t>Specify Percent Involvement of Clonal Cells, if possible: _________________ %</w:t>
      </w:r>
    </w:p>
    <w:p w14:paraId="5D9DF3DC" w14:textId="77777777" w:rsidR="00613A7D" w:rsidRDefault="00613A7D" w:rsidP="003430D4">
      <w:pPr>
        <w:spacing w:after="0" w:line="276" w:lineRule="auto"/>
        <w:divId w:val="423500168"/>
        <w:rPr>
          <w:rFonts w:ascii="Arial" w:eastAsia="Times New Roman" w:hAnsi="Arial" w:cs="Arial"/>
          <w:sz w:val="20"/>
          <w:szCs w:val="20"/>
          <w:lang w:val="en"/>
        </w:rPr>
      </w:pPr>
      <w:r>
        <w:rPr>
          <w:rFonts w:ascii="Arial" w:eastAsia="Times New Roman" w:hAnsi="Arial" w:cs="Arial"/>
          <w:sz w:val="20"/>
          <w:szCs w:val="20"/>
          <w:lang w:val="en"/>
        </w:rPr>
        <w:t xml:space="preserve">___ Blood  </w:t>
      </w:r>
    </w:p>
    <w:p w14:paraId="0FA1189D" w14:textId="77777777" w:rsidR="00613A7D" w:rsidRDefault="00613A7D" w:rsidP="003430D4">
      <w:pPr>
        <w:spacing w:after="0" w:line="276" w:lineRule="auto"/>
        <w:ind w:firstLine="240"/>
        <w:divId w:val="343675974"/>
        <w:rPr>
          <w:rFonts w:ascii="Arial" w:eastAsia="Times New Roman" w:hAnsi="Arial" w:cs="Arial"/>
          <w:b/>
          <w:bCs/>
          <w:sz w:val="20"/>
          <w:szCs w:val="20"/>
          <w:lang w:val="en"/>
        </w:rPr>
      </w:pPr>
      <w:r>
        <w:rPr>
          <w:rFonts w:ascii="Arial" w:eastAsia="Times New Roman" w:hAnsi="Arial" w:cs="Arial"/>
          <w:b/>
          <w:bCs/>
          <w:sz w:val="20"/>
          <w:szCs w:val="20"/>
          <w:lang w:val="en"/>
        </w:rPr>
        <w:t>Specify Percent Involvement of Clonal Cells, if possible: _________________ %</w:t>
      </w:r>
    </w:p>
    <w:p w14:paraId="323A02C6" w14:textId="77777777" w:rsidR="00613A7D" w:rsidRDefault="00613A7D" w:rsidP="003430D4">
      <w:pPr>
        <w:spacing w:after="0" w:line="276" w:lineRule="auto"/>
        <w:divId w:val="1241910095"/>
        <w:rPr>
          <w:rFonts w:ascii="Arial" w:eastAsia="Times New Roman" w:hAnsi="Arial" w:cs="Arial"/>
          <w:sz w:val="20"/>
          <w:szCs w:val="20"/>
          <w:lang w:val="en"/>
        </w:rPr>
      </w:pPr>
      <w:r>
        <w:rPr>
          <w:rFonts w:ascii="Arial" w:eastAsia="Times New Roman" w:hAnsi="Arial" w:cs="Arial"/>
          <w:sz w:val="20"/>
          <w:szCs w:val="20"/>
          <w:lang w:val="en"/>
        </w:rPr>
        <w:t xml:space="preserve">___ Bone (targeted biopsy, specify location): _________________ </w:t>
      </w:r>
    </w:p>
    <w:p w14:paraId="76892132" w14:textId="77777777" w:rsidR="00613A7D" w:rsidRDefault="00613A7D" w:rsidP="003430D4">
      <w:pPr>
        <w:spacing w:after="0" w:line="276" w:lineRule="auto"/>
        <w:divId w:val="1819226564"/>
        <w:rPr>
          <w:rFonts w:ascii="Arial" w:eastAsia="Times New Roman" w:hAnsi="Arial" w:cs="Arial"/>
          <w:sz w:val="20"/>
          <w:szCs w:val="20"/>
          <w:lang w:val="en"/>
        </w:rPr>
      </w:pPr>
      <w:r>
        <w:rPr>
          <w:rFonts w:ascii="Arial" w:eastAsia="Times New Roman" w:hAnsi="Arial" w:cs="Arial"/>
          <w:sz w:val="20"/>
          <w:szCs w:val="20"/>
          <w:lang w:val="en"/>
        </w:rPr>
        <w:t xml:space="preserve">___ Lymph node (targeted biopsy, specify location): _________________ </w:t>
      </w:r>
    </w:p>
    <w:p w14:paraId="05CB6F02" w14:textId="77777777" w:rsidR="00613A7D" w:rsidRDefault="00613A7D" w:rsidP="003430D4">
      <w:pPr>
        <w:spacing w:after="0" w:line="276" w:lineRule="auto"/>
        <w:divId w:val="1067143147"/>
        <w:rPr>
          <w:rFonts w:ascii="Arial" w:eastAsia="Times New Roman" w:hAnsi="Arial" w:cs="Arial"/>
          <w:sz w:val="20"/>
          <w:szCs w:val="20"/>
          <w:lang w:val="en"/>
        </w:rPr>
      </w:pPr>
      <w:r>
        <w:rPr>
          <w:rFonts w:ascii="Arial" w:eastAsia="Times New Roman" w:hAnsi="Arial" w:cs="Arial"/>
          <w:sz w:val="20"/>
          <w:szCs w:val="20"/>
          <w:lang w:val="en"/>
        </w:rPr>
        <w:t xml:space="preserve">___ Extranodal / mucosal site (targeted biopsy, specify location): _________________ </w:t>
      </w:r>
    </w:p>
    <w:p w14:paraId="686E4C4F" w14:textId="77777777" w:rsidR="00613A7D" w:rsidRDefault="00613A7D" w:rsidP="003430D4">
      <w:pPr>
        <w:spacing w:after="0" w:line="276" w:lineRule="auto"/>
        <w:divId w:val="124278160"/>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6A724F75" w14:textId="77777777" w:rsidR="00613A7D" w:rsidRDefault="00613A7D" w:rsidP="003430D4">
      <w:pPr>
        <w:spacing w:after="0" w:line="276" w:lineRule="auto"/>
        <w:divId w:val="175777914"/>
        <w:rPr>
          <w:rFonts w:ascii="Arial" w:eastAsia="Times New Roman" w:hAnsi="Arial" w:cs="Arial"/>
          <w:sz w:val="24"/>
          <w:szCs w:val="24"/>
          <w:lang w:val="en"/>
        </w:rPr>
      </w:pPr>
    </w:p>
    <w:p w14:paraId="3E5F36C3" w14:textId="77777777" w:rsidR="00613A7D" w:rsidRDefault="00613A7D" w:rsidP="003430D4">
      <w:pPr>
        <w:spacing w:after="0" w:line="276" w:lineRule="auto"/>
        <w:divId w:val="531655363"/>
        <w:rPr>
          <w:rFonts w:ascii="Arial" w:eastAsia="Times New Roman" w:hAnsi="Arial" w:cs="Arial"/>
          <w:b/>
          <w:bCs/>
          <w:sz w:val="20"/>
          <w:szCs w:val="20"/>
          <w:lang w:val="en"/>
        </w:rPr>
      </w:pPr>
      <w:r>
        <w:rPr>
          <w:rFonts w:ascii="Arial" w:eastAsia="Times New Roman" w:hAnsi="Arial" w:cs="Arial"/>
          <w:b/>
          <w:bCs/>
          <w:sz w:val="20"/>
          <w:szCs w:val="20"/>
          <w:lang w:val="en"/>
        </w:rPr>
        <w:t xml:space="preserve">Final Integrated Diagnosis (Note </w:t>
      </w:r>
      <w:hyperlink w:anchor="N12277" w:tgtFrame="_top" w:history="1">
        <w:r>
          <w:rPr>
            <w:rStyle w:val="Hyperlink"/>
            <w:rFonts w:ascii="Arial" w:eastAsia="Times New Roman" w:hAnsi="Arial" w:cs="Arial"/>
            <w:b/>
            <w:bCs/>
            <w:sz w:val="20"/>
            <w:szCs w:val="20"/>
            <w:lang w:val="en"/>
          </w:rPr>
          <w:t>B</w:t>
        </w:r>
      </w:hyperlink>
      <w:r>
        <w:rPr>
          <w:rFonts w:ascii="Arial" w:eastAsia="Times New Roman" w:hAnsi="Arial" w:cs="Arial"/>
          <w:b/>
          <w:bCs/>
          <w:sz w:val="20"/>
          <w:szCs w:val="20"/>
          <w:lang w:val="en"/>
        </w:rPr>
        <w:t xml:space="preserve">) </w:t>
      </w:r>
    </w:p>
    <w:p w14:paraId="65C4A8F6" w14:textId="77777777" w:rsidR="00613A7D" w:rsidRPr="003430D4" w:rsidRDefault="00613A7D" w:rsidP="003430D4">
      <w:pPr>
        <w:spacing w:after="0" w:line="276" w:lineRule="auto"/>
        <w:divId w:val="1453092198"/>
        <w:rPr>
          <w:rFonts w:ascii="Arial" w:eastAsia="Times New Roman" w:hAnsi="Arial" w:cs="Arial"/>
          <w:i/>
          <w:iCs/>
          <w:sz w:val="16"/>
          <w:szCs w:val="16"/>
          <w:lang w:val="en"/>
        </w:rPr>
      </w:pPr>
      <w:r w:rsidRPr="003430D4">
        <w:rPr>
          <w:rFonts w:ascii="Arial" w:eastAsia="Times New Roman" w:hAnsi="Arial" w:cs="Arial"/>
          <w:i/>
          <w:iCs/>
          <w:sz w:val="16"/>
          <w:szCs w:val="16"/>
          <w:lang w:val="en"/>
        </w:rPr>
        <w:t xml:space="preserve">Plasma cell neoplasms and other diseases with paraproteins  </w:t>
      </w:r>
    </w:p>
    <w:p w14:paraId="4492C234" w14:textId="77777777" w:rsidR="00613A7D" w:rsidRDefault="00613A7D" w:rsidP="003430D4">
      <w:pPr>
        <w:spacing w:after="0" w:line="276" w:lineRule="auto"/>
        <w:divId w:val="2069763304"/>
        <w:rPr>
          <w:rFonts w:ascii="Arial" w:eastAsia="Times New Roman" w:hAnsi="Arial" w:cs="Arial"/>
          <w:sz w:val="20"/>
          <w:szCs w:val="20"/>
          <w:lang w:val="en"/>
        </w:rPr>
      </w:pPr>
      <w:r>
        <w:rPr>
          <w:rFonts w:ascii="Arial" w:eastAsia="Times New Roman" w:hAnsi="Arial" w:cs="Arial"/>
          <w:sz w:val="20"/>
          <w:szCs w:val="20"/>
          <w:lang w:val="en"/>
        </w:rPr>
        <w:t xml:space="preserve">___ Plasma cell neoplasms  </w:t>
      </w:r>
    </w:p>
    <w:p w14:paraId="4D3120C1" w14:textId="77777777" w:rsidR="00613A7D" w:rsidRDefault="00613A7D" w:rsidP="003430D4">
      <w:pPr>
        <w:spacing w:after="0" w:line="276" w:lineRule="auto"/>
        <w:ind w:firstLine="240"/>
        <w:divId w:val="148596186"/>
        <w:rPr>
          <w:rFonts w:ascii="Arial" w:eastAsia="Times New Roman" w:hAnsi="Arial" w:cs="Arial"/>
          <w:sz w:val="20"/>
          <w:szCs w:val="20"/>
          <w:lang w:val="en"/>
        </w:rPr>
      </w:pPr>
      <w:r>
        <w:rPr>
          <w:rFonts w:ascii="Arial" w:eastAsia="Times New Roman" w:hAnsi="Arial" w:cs="Arial"/>
          <w:sz w:val="20"/>
          <w:szCs w:val="20"/>
          <w:lang w:val="en"/>
        </w:rPr>
        <w:t xml:space="preserve">___ Solitary plasmacytoma of bone  </w:t>
      </w:r>
    </w:p>
    <w:p w14:paraId="70C25A1C" w14:textId="77777777" w:rsidR="00613A7D" w:rsidRDefault="00613A7D" w:rsidP="003430D4">
      <w:pPr>
        <w:spacing w:after="0" w:line="276" w:lineRule="auto"/>
        <w:ind w:firstLine="240"/>
        <w:divId w:val="260723522"/>
        <w:rPr>
          <w:rFonts w:ascii="Arial" w:eastAsia="Times New Roman" w:hAnsi="Arial" w:cs="Arial"/>
          <w:sz w:val="20"/>
          <w:szCs w:val="20"/>
          <w:lang w:val="en"/>
        </w:rPr>
      </w:pPr>
      <w:r>
        <w:rPr>
          <w:rFonts w:ascii="Arial" w:eastAsia="Times New Roman" w:hAnsi="Arial" w:cs="Arial"/>
          <w:sz w:val="20"/>
          <w:szCs w:val="20"/>
          <w:lang w:val="en"/>
        </w:rPr>
        <w:t xml:space="preserve">___ Extramedullary plasmacytoma  </w:t>
      </w:r>
    </w:p>
    <w:p w14:paraId="6B07E7BE" w14:textId="77777777" w:rsidR="00613A7D" w:rsidRDefault="00613A7D" w:rsidP="003430D4">
      <w:pPr>
        <w:spacing w:after="0" w:line="276" w:lineRule="auto"/>
        <w:ind w:firstLine="240"/>
        <w:divId w:val="869534227"/>
        <w:rPr>
          <w:rFonts w:ascii="Arial" w:eastAsia="Times New Roman" w:hAnsi="Arial" w:cs="Arial"/>
          <w:sz w:val="20"/>
          <w:szCs w:val="20"/>
          <w:lang w:val="en"/>
        </w:rPr>
      </w:pPr>
      <w:r>
        <w:rPr>
          <w:rFonts w:ascii="Arial" w:eastAsia="Times New Roman" w:hAnsi="Arial" w:cs="Arial"/>
          <w:sz w:val="20"/>
          <w:szCs w:val="20"/>
          <w:lang w:val="en"/>
        </w:rPr>
        <w:t xml:space="preserve">___ Plasma cell neoplasm involving bone marrow (clinical information required)  </w:t>
      </w:r>
    </w:p>
    <w:p w14:paraId="295262BB" w14:textId="77777777" w:rsidR="00613A7D" w:rsidRDefault="00613A7D" w:rsidP="003430D4">
      <w:pPr>
        <w:spacing w:after="0" w:line="276" w:lineRule="auto"/>
        <w:ind w:firstLine="240"/>
        <w:divId w:val="108621178"/>
        <w:rPr>
          <w:rFonts w:ascii="Arial" w:eastAsia="Times New Roman" w:hAnsi="Arial" w:cs="Arial"/>
          <w:sz w:val="20"/>
          <w:szCs w:val="20"/>
          <w:lang w:val="en"/>
        </w:rPr>
      </w:pPr>
      <w:r>
        <w:rPr>
          <w:rFonts w:ascii="Arial" w:eastAsia="Times New Roman" w:hAnsi="Arial" w:cs="Arial"/>
          <w:sz w:val="20"/>
          <w:szCs w:val="20"/>
          <w:lang w:val="en"/>
        </w:rPr>
        <w:t xml:space="preserve">___ Plasma cell myeloma / multiple myeloma  </w:t>
      </w:r>
    </w:p>
    <w:p w14:paraId="58A25967" w14:textId="77777777" w:rsidR="00613A7D" w:rsidRDefault="00613A7D" w:rsidP="003430D4">
      <w:pPr>
        <w:spacing w:after="0" w:line="276" w:lineRule="auto"/>
        <w:ind w:firstLine="240"/>
        <w:divId w:val="2003661775"/>
        <w:rPr>
          <w:rFonts w:ascii="Arial" w:eastAsia="Times New Roman" w:hAnsi="Arial" w:cs="Arial"/>
          <w:sz w:val="20"/>
          <w:szCs w:val="20"/>
          <w:lang w:val="en"/>
        </w:rPr>
      </w:pPr>
      <w:r>
        <w:rPr>
          <w:rFonts w:ascii="Arial" w:eastAsia="Times New Roman" w:hAnsi="Arial" w:cs="Arial"/>
          <w:sz w:val="20"/>
          <w:szCs w:val="20"/>
          <w:lang w:val="en"/>
        </w:rPr>
        <w:t xml:space="preserve">___ Smoldering (asymptomatic) myeloma  </w:t>
      </w:r>
    </w:p>
    <w:p w14:paraId="674CAA78" w14:textId="77777777" w:rsidR="00613A7D" w:rsidRDefault="00613A7D" w:rsidP="003430D4">
      <w:pPr>
        <w:spacing w:after="0" w:line="276" w:lineRule="auto"/>
        <w:ind w:firstLine="240"/>
        <w:divId w:val="2038961925"/>
        <w:rPr>
          <w:rFonts w:ascii="Arial" w:eastAsia="Times New Roman" w:hAnsi="Arial" w:cs="Arial"/>
          <w:sz w:val="20"/>
          <w:szCs w:val="20"/>
          <w:lang w:val="en"/>
        </w:rPr>
      </w:pPr>
      <w:r>
        <w:rPr>
          <w:rFonts w:ascii="Arial" w:eastAsia="Times New Roman" w:hAnsi="Arial" w:cs="Arial"/>
          <w:sz w:val="20"/>
          <w:szCs w:val="20"/>
          <w:lang w:val="en"/>
        </w:rPr>
        <w:t xml:space="preserve">___ Plasma cell leukemia  </w:t>
      </w:r>
    </w:p>
    <w:p w14:paraId="0334A693" w14:textId="77777777" w:rsidR="00613A7D" w:rsidRDefault="00613A7D" w:rsidP="003430D4">
      <w:pPr>
        <w:spacing w:after="0" w:line="276" w:lineRule="auto"/>
        <w:ind w:firstLine="240"/>
        <w:divId w:val="430852949"/>
        <w:rPr>
          <w:rFonts w:ascii="Arial" w:eastAsia="Times New Roman" w:hAnsi="Arial" w:cs="Arial"/>
          <w:sz w:val="20"/>
          <w:szCs w:val="20"/>
          <w:lang w:val="en"/>
        </w:rPr>
      </w:pPr>
      <w:r>
        <w:rPr>
          <w:rFonts w:ascii="Arial" w:eastAsia="Times New Roman" w:hAnsi="Arial" w:cs="Arial"/>
          <w:sz w:val="20"/>
          <w:szCs w:val="20"/>
          <w:lang w:val="en"/>
        </w:rPr>
        <w:t xml:space="preserve">___ Other plasma cell neoplasm (specify): _________________ </w:t>
      </w:r>
    </w:p>
    <w:p w14:paraId="15E6F4E0" w14:textId="77777777" w:rsidR="00613A7D" w:rsidRDefault="00613A7D" w:rsidP="003430D4">
      <w:pPr>
        <w:spacing w:after="0" w:line="276" w:lineRule="auto"/>
        <w:divId w:val="405298223"/>
        <w:rPr>
          <w:rFonts w:ascii="Arial" w:eastAsia="Times New Roman" w:hAnsi="Arial" w:cs="Arial"/>
          <w:sz w:val="20"/>
          <w:szCs w:val="20"/>
          <w:lang w:val="en"/>
        </w:rPr>
      </w:pPr>
      <w:r>
        <w:rPr>
          <w:rFonts w:ascii="Arial" w:eastAsia="Times New Roman" w:hAnsi="Arial" w:cs="Arial"/>
          <w:sz w:val="20"/>
          <w:szCs w:val="20"/>
          <w:lang w:val="en"/>
        </w:rPr>
        <w:t xml:space="preserve">___ Immunoglobulin-related (AL) amyloidosis  </w:t>
      </w:r>
    </w:p>
    <w:p w14:paraId="584CF3F1" w14:textId="77777777" w:rsidR="00613A7D" w:rsidRDefault="00613A7D" w:rsidP="003430D4">
      <w:pPr>
        <w:spacing w:after="0" w:line="276" w:lineRule="auto"/>
        <w:ind w:firstLine="240"/>
        <w:divId w:val="254752415"/>
        <w:rPr>
          <w:rFonts w:ascii="Arial" w:eastAsia="Times New Roman" w:hAnsi="Arial" w:cs="Arial"/>
          <w:sz w:val="20"/>
          <w:szCs w:val="20"/>
          <w:lang w:val="en"/>
        </w:rPr>
      </w:pPr>
      <w:r>
        <w:rPr>
          <w:rFonts w:ascii="Arial" w:eastAsia="Times New Roman" w:hAnsi="Arial" w:cs="Arial"/>
          <w:sz w:val="20"/>
          <w:szCs w:val="20"/>
          <w:lang w:val="en"/>
        </w:rPr>
        <w:t xml:space="preserve">___ Systemic AL amyloidosis  </w:t>
      </w:r>
    </w:p>
    <w:p w14:paraId="1B3748BC" w14:textId="77777777" w:rsidR="00613A7D" w:rsidRDefault="00613A7D" w:rsidP="003430D4">
      <w:pPr>
        <w:spacing w:after="0" w:line="276" w:lineRule="auto"/>
        <w:ind w:firstLine="240"/>
        <w:divId w:val="2015067969"/>
        <w:rPr>
          <w:rFonts w:ascii="Arial" w:eastAsia="Times New Roman" w:hAnsi="Arial" w:cs="Arial"/>
          <w:sz w:val="20"/>
          <w:szCs w:val="20"/>
          <w:lang w:val="en"/>
        </w:rPr>
      </w:pPr>
      <w:r>
        <w:rPr>
          <w:rFonts w:ascii="Arial" w:eastAsia="Times New Roman" w:hAnsi="Arial" w:cs="Arial"/>
          <w:sz w:val="20"/>
          <w:szCs w:val="20"/>
          <w:lang w:val="en"/>
        </w:rPr>
        <w:t xml:space="preserve">___ Localized AL amyloidosis  </w:t>
      </w:r>
    </w:p>
    <w:p w14:paraId="32EE0227" w14:textId="77777777" w:rsidR="00613A7D" w:rsidRDefault="00613A7D" w:rsidP="003430D4">
      <w:pPr>
        <w:spacing w:after="0" w:line="276" w:lineRule="auto"/>
        <w:ind w:firstLine="240"/>
        <w:divId w:val="227692032"/>
        <w:rPr>
          <w:rFonts w:ascii="Arial" w:eastAsia="Times New Roman" w:hAnsi="Arial" w:cs="Arial"/>
          <w:sz w:val="20"/>
          <w:szCs w:val="20"/>
          <w:lang w:val="en"/>
        </w:rPr>
      </w:pPr>
      <w:r>
        <w:rPr>
          <w:rFonts w:ascii="Arial" w:eastAsia="Times New Roman" w:hAnsi="Arial" w:cs="Arial"/>
          <w:sz w:val="20"/>
          <w:szCs w:val="20"/>
          <w:lang w:val="en"/>
        </w:rPr>
        <w:t xml:space="preserve">___ Heavy chain amyloidosis  </w:t>
      </w:r>
    </w:p>
    <w:p w14:paraId="6FD5724C" w14:textId="77777777" w:rsidR="00613A7D" w:rsidRDefault="00613A7D" w:rsidP="003430D4">
      <w:pPr>
        <w:spacing w:after="0" w:line="276" w:lineRule="auto"/>
        <w:divId w:val="90202909"/>
        <w:rPr>
          <w:rFonts w:ascii="Arial" w:eastAsia="Times New Roman" w:hAnsi="Arial" w:cs="Arial"/>
          <w:sz w:val="20"/>
          <w:szCs w:val="20"/>
          <w:lang w:val="en"/>
        </w:rPr>
      </w:pPr>
      <w:r>
        <w:rPr>
          <w:rFonts w:ascii="Arial" w:eastAsia="Times New Roman" w:hAnsi="Arial" w:cs="Arial"/>
          <w:sz w:val="20"/>
          <w:szCs w:val="20"/>
          <w:lang w:val="en"/>
        </w:rPr>
        <w:t xml:space="preserve">___ Monoclonal immunoglobulin deposition diseases  </w:t>
      </w:r>
    </w:p>
    <w:p w14:paraId="6A8ECF88" w14:textId="77777777" w:rsidR="00613A7D" w:rsidRDefault="00613A7D" w:rsidP="003430D4">
      <w:pPr>
        <w:spacing w:after="0" w:line="276" w:lineRule="auto"/>
        <w:ind w:firstLine="240"/>
        <w:divId w:val="2094467396"/>
        <w:rPr>
          <w:rFonts w:ascii="Arial" w:eastAsia="Times New Roman" w:hAnsi="Arial" w:cs="Arial"/>
          <w:sz w:val="20"/>
          <w:szCs w:val="20"/>
          <w:lang w:val="en"/>
        </w:rPr>
      </w:pPr>
      <w:r>
        <w:rPr>
          <w:rFonts w:ascii="Arial" w:eastAsia="Times New Roman" w:hAnsi="Arial" w:cs="Arial"/>
          <w:sz w:val="20"/>
          <w:szCs w:val="20"/>
          <w:lang w:val="en"/>
        </w:rPr>
        <w:t xml:space="preserve">___ Light chain deposition disease  </w:t>
      </w:r>
    </w:p>
    <w:p w14:paraId="03BC936A" w14:textId="77777777" w:rsidR="00613A7D" w:rsidRDefault="00613A7D" w:rsidP="003430D4">
      <w:pPr>
        <w:spacing w:after="0" w:line="276" w:lineRule="auto"/>
        <w:ind w:firstLine="240"/>
        <w:divId w:val="292173859"/>
        <w:rPr>
          <w:rFonts w:ascii="Arial" w:eastAsia="Times New Roman" w:hAnsi="Arial" w:cs="Arial"/>
          <w:sz w:val="20"/>
          <w:szCs w:val="20"/>
          <w:lang w:val="en"/>
        </w:rPr>
      </w:pPr>
      <w:r>
        <w:rPr>
          <w:rFonts w:ascii="Arial" w:eastAsia="Times New Roman" w:hAnsi="Arial" w:cs="Arial"/>
          <w:sz w:val="20"/>
          <w:szCs w:val="20"/>
          <w:lang w:val="en"/>
        </w:rPr>
        <w:t xml:space="preserve">___ Light and heavy chain deposition disease  </w:t>
      </w:r>
    </w:p>
    <w:p w14:paraId="746FF869" w14:textId="77777777" w:rsidR="00613A7D" w:rsidRDefault="00613A7D" w:rsidP="003430D4">
      <w:pPr>
        <w:spacing w:after="0" w:line="276" w:lineRule="auto"/>
        <w:ind w:firstLine="240"/>
        <w:divId w:val="711879809"/>
        <w:rPr>
          <w:rFonts w:ascii="Arial" w:eastAsia="Times New Roman" w:hAnsi="Arial" w:cs="Arial"/>
          <w:sz w:val="20"/>
          <w:szCs w:val="20"/>
          <w:lang w:val="en"/>
        </w:rPr>
      </w:pPr>
      <w:r>
        <w:rPr>
          <w:rFonts w:ascii="Arial" w:eastAsia="Times New Roman" w:hAnsi="Arial" w:cs="Arial"/>
          <w:sz w:val="20"/>
          <w:szCs w:val="20"/>
          <w:lang w:val="en"/>
        </w:rPr>
        <w:t xml:space="preserve">___ Heavy chain deposition disease  </w:t>
      </w:r>
    </w:p>
    <w:p w14:paraId="0699C91D" w14:textId="77777777" w:rsidR="00613A7D" w:rsidRDefault="00613A7D" w:rsidP="003430D4">
      <w:pPr>
        <w:spacing w:after="0" w:line="276" w:lineRule="auto"/>
        <w:divId w:val="997420789"/>
        <w:rPr>
          <w:rFonts w:ascii="Arial" w:eastAsia="Times New Roman" w:hAnsi="Arial" w:cs="Arial"/>
          <w:sz w:val="20"/>
          <w:szCs w:val="20"/>
          <w:lang w:val="en"/>
        </w:rPr>
      </w:pPr>
      <w:r>
        <w:rPr>
          <w:rFonts w:ascii="Arial" w:eastAsia="Times New Roman" w:hAnsi="Arial" w:cs="Arial"/>
          <w:sz w:val="20"/>
          <w:szCs w:val="20"/>
          <w:lang w:val="en"/>
        </w:rPr>
        <w:t xml:space="preserve">___ Heavy chain diseases  </w:t>
      </w:r>
    </w:p>
    <w:p w14:paraId="54C4FF7A" w14:textId="77777777" w:rsidR="00613A7D" w:rsidRDefault="00613A7D" w:rsidP="003430D4">
      <w:pPr>
        <w:spacing w:after="0" w:line="276" w:lineRule="auto"/>
        <w:ind w:firstLine="240"/>
        <w:divId w:val="1517307617"/>
        <w:rPr>
          <w:rFonts w:ascii="Arial" w:eastAsia="Times New Roman" w:hAnsi="Arial" w:cs="Arial"/>
          <w:sz w:val="20"/>
          <w:szCs w:val="20"/>
          <w:lang w:val="en"/>
        </w:rPr>
      </w:pPr>
      <w:r>
        <w:rPr>
          <w:rFonts w:ascii="Arial" w:eastAsia="Times New Roman" w:hAnsi="Arial" w:cs="Arial"/>
          <w:sz w:val="20"/>
          <w:szCs w:val="20"/>
          <w:lang w:val="en"/>
        </w:rPr>
        <w:t xml:space="preserve">___ Mu heavy chain disease  </w:t>
      </w:r>
    </w:p>
    <w:p w14:paraId="2489D007" w14:textId="77777777" w:rsidR="00613A7D" w:rsidRDefault="00613A7D" w:rsidP="003430D4">
      <w:pPr>
        <w:spacing w:after="0" w:line="276" w:lineRule="auto"/>
        <w:ind w:firstLine="240"/>
        <w:divId w:val="1082869420"/>
        <w:rPr>
          <w:rFonts w:ascii="Arial" w:eastAsia="Times New Roman" w:hAnsi="Arial" w:cs="Arial"/>
          <w:sz w:val="20"/>
          <w:szCs w:val="20"/>
          <w:lang w:val="en"/>
        </w:rPr>
      </w:pPr>
      <w:r>
        <w:rPr>
          <w:rFonts w:ascii="Arial" w:eastAsia="Times New Roman" w:hAnsi="Arial" w:cs="Arial"/>
          <w:sz w:val="20"/>
          <w:szCs w:val="20"/>
          <w:lang w:val="en"/>
        </w:rPr>
        <w:t xml:space="preserve">___ Gamma heavy chain disease  </w:t>
      </w:r>
    </w:p>
    <w:p w14:paraId="55FE54D0" w14:textId="77777777" w:rsidR="00613A7D" w:rsidRDefault="00613A7D" w:rsidP="003430D4">
      <w:pPr>
        <w:spacing w:after="0" w:line="276" w:lineRule="auto"/>
        <w:ind w:firstLine="240"/>
        <w:divId w:val="1292596929"/>
        <w:rPr>
          <w:rFonts w:ascii="Arial" w:eastAsia="Times New Roman" w:hAnsi="Arial" w:cs="Arial"/>
          <w:sz w:val="20"/>
          <w:szCs w:val="20"/>
          <w:lang w:val="en"/>
        </w:rPr>
      </w:pPr>
      <w:r>
        <w:rPr>
          <w:rFonts w:ascii="Arial" w:eastAsia="Times New Roman" w:hAnsi="Arial" w:cs="Arial"/>
          <w:sz w:val="20"/>
          <w:szCs w:val="20"/>
          <w:lang w:val="en"/>
        </w:rPr>
        <w:t xml:space="preserve">___ Alpha heavy chain disease  </w:t>
      </w:r>
    </w:p>
    <w:p w14:paraId="19089937" w14:textId="77777777" w:rsidR="00613A7D" w:rsidRDefault="00613A7D" w:rsidP="003430D4">
      <w:pPr>
        <w:spacing w:after="0" w:line="276" w:lineRule="auto"/>
        <w:divId w:val="175777914"/>
        <w:rPr>
          <w:rFonts w:ascii="Arial" w:eastAsia="Times New Roman" w:hAnsi="Arial" w:cs="Arial"/>
          <w:sz w:val="24"/>
          <w:szCs w:val="24"/>
          <w:lang w:val="en"/>
        </w:rPr>
      </w:pPr>
    </w:p>
    <w:p w14:paraId="79EA8ACD" w14:textId="77777777" w:rsidR="00613A7D" w:rsidRDefault="00613A7D" w:rsidP="003430D4">
      <w:pPr>
        <w:spacing w:after="0" w:line="276" w:lineRule="auto"/>
        <w:divId w:val="1981380536"/>
        <w:rPr>
          <w:rFonts w:ascii="Arial" w:eastAsia="Times New Roman" w:hAnsi="Arial" w:cs="Arial"/>
          <w:b/>
          <w:bCs/>
          <w:sz w:val="20"/>
          <w:szCs w:val="20"/>
          <w:lang w:val="en"/>
        </w:rPr>
      </w:pPr>
      <w:r>
        <w:rPr>
          <w:rFonts w:ascii="Arial" w:eastAsia="Times New Roman" w:hAnsi="Arial" w:cs="Arial"/>
          <w:b/>
          <w:bCs/>
          <w:sz w:val="20"/>
          <w:szCs w:val="20"/>
          <w:lang w:val="en"/>
        </w:rPr>
        <w:t xml:space="preserve">SPECIAL STUDIES (Note </w:t>
      </w:r>
      <w:hyperlink w:anchor="N12279" w:tgtFrame="_top" w:history="1">
        <w:r>
          <w:rPr>
            <w:rStyle w:val="Hyperlink"/>
            <w:rFonts w:ascii="Arial" w:eastAsia="Times New Roman" w:hAnsi="Arial" w:cs="Arial"/>
            <w:b/>
            <w:bCs/>
            <w:sz w:val="20"/>
            <w:szCs w:val="20"/>
            <w:lang w:val="en"/>
          </w:rPr>
          <w:t>C</w:t>
        </w:r>
      </w:hyperlink>
      <w:r>
        <w:rPr>
          <w:rFonts w:ascii="Arial" w:eastAsia="Times New Roman" w:hAnsi="Arial" w:cs="Arial"/>
          <w:b/>
          <w:bCs/>
          <w:sz w:val="20"/>
          <w:szCs w:val="20"/>
          <w:lang w:val="en"/>
        </w:rPr>
        <w:t xml:space="preserve">) </w:t>
      </w:r>
    </w:p>
    <w:p w14:paraId="35DBC0AD" w14:textId="77777777" w:rsidR="00613A7D" w:rsidRDefault="00613A7D" w:rsidP="003430D4">
      <w:pPr>
        <w:spacing w:after="0" w:line="276" w:lineRule="auto"/>
        <w:divId w:val="175777914"/>
        <w:rPr>
          <w:rFonts w:ascii="Arial" w:eastAsia="Times New Roman" w:hAnsi="Arial" w:cs="Arial"/>
          <w:sz w:val="24"/>
          <w:szCs w:val="24"/>
          <w:lang w:val="en"/>
        </w:rPr>
      </w:pPr>
    </w:p>
    <w:p w14:paraId="4A7B7D65" w14:textId="77777777" w:rsidR="00613A7D" w:rsidRDefault="00613A7D" w:rsidP="003430D4">
      <w:pPr>
        <w:spacing w:after="0" w:line="276" w:lineRule="auto"/>
        <w:divId w:val="55055890"/>
        <w:rPr>
          <w:rFonts w:ascii="Arial" w:eastAsia="Times New Roman" w:hAnsi="Arial" w:cs="Arial"/>
          <w:b/>
          <w:bCs/>
          <w:sz w:val="20"/>
          <w:szCs w:val="20"/>
          <w:lang w:val="en"/>
        </w:rPr>
      </w:pPr>
      <w:r>
        <w:rPr>
          <w:rFonts w:ascii="Arial" w:eastAsia="Times New Roman" w:hAnsi="Arial" w:cs="Arial"/>
          <w:b/>
          <w:bCs/>
          <w:sz w:val="20"/>
          <w:szCs w:val="20"/>
          <w:lang w:val="en"/>
        </w:rPr>
        <w:t xml:space="preserve">Immunoglobulin Depositions  </w:t>
      </w:r>
    </w:p>
    <w:p w14:paraId="7E866FA4" w14:textId="77777777" w:rsidR="00613A7D" w:rsidRDefault="00613A7D" w:rsidP="003430D4">
      <w:pPr>
        <w:spacing w:after="0" w:line="276" w:lineRule="auto"/>
        <w:divId w:val="1172376640"/>
        <w:rPr>
          <w:rFonts w:ascii="Arial" w:eastAsia="Times New Roman" w:hAnsi="Arial" w:cs="Arial"/>
          <w:sz w:val="20"/>
          <w:szCs w:val="20"/>
          <w:lang w:val="en"/>
        </w:rPr>
      </w:pPr>
      <w:r>
        <w:rPr>
          <w:rFonts w:ascii="Arial" w:eastAsia="Times New Roman" w:hAnsi="Arial" w:cs="Arial"/>
          <w:sz w:val="20"/>
          <w:szCs w:val="20"/>
          <w:lang w:val="en"/>
        </w:rPr>
        <w:t xml:space="preserve">___ Not detected on routine (H&amp;E) stain  </w:t>
      </w:r>
    </w:p>
    <w:p w14:paraId="0675F29F" w14:textId="77777777" w:rsidR="00613A7D" w:rsidRDefault="00613A7D" w:rsidP="003430D4">
      <w:pPr>
        <w:spacing w:after="0" w:line="276" w:lineRule="auto"/>
        <w:divId w:val="183634863"/>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Not detected on Congo Red stain  </w:t>
      </w:r>
    </w:p>
    <w:p w14:paraId="75E983F7" w14:textId="77777777" w:rsidR="00613A7D" w:rsidRDefault="00613A7D" w:rsidP="003430D4">
      <w:pPr>
        <w:spacing w:after="0" w:line="276" w:lineRule="auto"/>
        <w:divId w:val="927154753"/>
        <w:rPr>
          <w:rFonts w:ascii="Arial" w:eastAsia="Times New Roman" w:hAnsi="Arial" w:cs="Arial"/>
          <w:sz w:val="20"/>
          <w:szCs w:val="20"/>
          <w:lang w:val="en"/>
        </w:rPr>
      </w:pPr>
      <w:r>
        <w:rPr>
          <w:rFonts w:ascii="Arial" w:eastAsia="Times New Roman" w:hAnsi="Arial" w:cs="Arial"/>
          <w:sz w:val="20"/>
          <w:szCs w:val="20"/>
          <w:lang w:val="en"/>
        </w:rPr>
        <w:t xml:space="preserve">___ Positive for amyloid on Congo Red  </w:t>
      </w:r>
    </w:p>
    <w:p w14:paraId="1A78A281" w14:textId="77777777" w:rsidR="00613A7D" w:rsidRDefault="00613A7D" w:rsidP="003430D4">
      <w:pPr>
        <w:spacing w:after="0" w:line="276" w:lineRule="auto"/>
        <w:divId w:val="1252546537"/>
        <w:rPr>
          <w:rFonts w:ascii="Arial" w:eastAsia="Times New Roman" w:hAnsi="Arial" w:cs="Arial"/>
          <w:sz w:val="20"/>
          <w:szCs w:val="20"/>
          <w:lang w:val="en"/>
        </w:rPr>
      </w:pPr>
      <w:r>
        <w:rPr>
          <w:rFonts w:ascii="Arial" w:eastAsia="Times New Roman" w:hAnsi="Arial" w:cs="Arial"/>
          <w:sz w:val="20"/>
          <w:szCs w:val="20"/>
          <w:lang w:val="en"/>
        </w:rPr>
        <w:t xml:space="preserve">___ Positive for non-amyloid deposition (specify): _________________ </w:t>
      </w:r>
    </w:p>
    <w:p w14:paraId="6E016C7B" w14:textId="77777777" w:rsidR="00613A7D" w:rsidRDefault="00613A7D" w:rsidP="003430D4">
      <w:pPr>
        <w:spacing w:after="0" w:line="276" w:lineRule="auto"/>
        <w:divId w:val="446437695"/>
        <w:rPr>
          <w:rFonts w:ascii="Arial" w:eastAsia="Times New Roman" w:hAnsi="Arial" w:cs="Arial"/>
          <w:b/>
          <w:bCs/>
          <w:sz w:val="20"/>
          <w:szCs w:val="20"/>
          <w:lang w:val="en"/>
        </w:rPr>
      </w:pPr>
      <w:r>
        <w:rPr>
          <w:rFonts w:ascii="Arial" w:eastAsia="Times New Roman" w:hAnsi="Arial" w:cs="Arial"/>
          <w:b/>
          <w:bCs/>
          <w:sz w:val="20"/>
          <w:szCs w:val="20"/>
          <w:lang w:val="en"/>
        </w:rPr>
        <w:t xml:space="preserve">Immunohistochemistry  </w:t>
      </w:r>
    </w:p>
    <w:p w14:paraId="47AB9EBF" w14:textId="77777777" w:rsidR="00613A7D" w:rsidRDefault="00613A7D" w:rsidP="003430D4">
      <w:pPr>
        <w:spacing w:after="0" w:line="276" w:lineRule="auto"/>
        <w:divId w:val="234321543"/>
        <w:rPr>
          <w:rFonts w:ascii="Arial" w:eastAsia="Times New Roman" w:hAnsi="Arial" w:cs="Arial"/>
          <w:sz w:val="20"/>
          <w:szCs w:val="20"/>
          <w:lang w:val="en"/>
        </w:rPr>
      </w:pPr>
      <w:r>
        <w:rPr>
          <w:rFonts w:ascii="Arial" w:eastAsia="Times New Roman" w:hAnsi="Arial" w:cs="Arial"/>
          <w:sz w:val="20"/>
          <w:szCs w:val="20"/>
          <w:lang w:val="en"/>
        </w:rPr>
        <w:t xml:space="preserve">___ Not performed  </w:t>
      </w:r>
    </w:p>
    <w:p w14:paraId="1DF5ED2A" w14:textId="77777777" w:rsidR="00613A7D" w:rsidRDefault="00613A7D" w:rsidP="003430D4">
      <w:pPr>
        <w:spacing w:after="0" w:line="276" w:lineRule="auto"/>
        <w:divId w:val="1445922421"/>
        <w:rPr>
          <w:rFonts w:ascii="Arial" w:eastAsia="Times New Roman" w:hAnsi="Arial" w:cs="Arial"/>
          <w:sz w:val="20"/>
          <w:szCs w:val="20"/>
          <w:lang w:val="en"/>
        </w:rPr>
      </w:pPr>
      <w:r>
        <w:rPr>
          <w:rFonts w:ascii="Arial" w:eastAsia="Times New Roman" w:hAnsi="Arial" w:cs="Arial"/>
          <w:sz w:val="20"/>
          <w:szCs w:val="20"/>
          <w:lang w:val="en"/>
        </w:rPr>
        <w:t xml:space="preserve">___ Performed (specify results): _________________ </w:t>
      </w:r>
    </w:p>
    <w:p w14:paraId="7E982DAF" w14:textId="77777777" w:rsidR="00613A7D" w:rsidRDefault="00613A7D" w:rsidP="003430D4">
      <w:pPr>
        <w:spacing w:after="0" w:line="276" w:lineRule="auto"/>
        <w:divId w:val="1083381348"/>
        <w:rPr>
          <w:rFonts w:ascii="Arial" w:eastAsia="Times New Roman" w:hAnsi="Arial" w:cs="Arial"/>
          <w:sz w:val="20"/>
          <w:szCs w:val="20"/>
          <w:lang w:val="en"/>
        </w:rPr>
      </w:pPr>
      <w:r>
        <w:rPr>
          <w:rFonts w:ascii="Arial" w:eastAsia="Times New Roman" w:hAnsi="Arial" w:cs="Arial"/>
          <w:sz w:val="20"/>
          <w:szCs w:val="20"/>
          <w:lang w:val="en"/>
        </w:rPr>
        <w:t xml:space="preserve">___ Pending  </w:t>
      </w:r>
    </w:p>
    <w:p w14:paraId="2F1D9314" w14:textId="77777777" w:rsidR="00613A7D" w:rsidRDefault="00613A7D" w:rsidP="003430D4">
      <w:pPr>
        <w:spacing w:after="0" w:line="276" w:lineRule="auto"/>
        <w:divId w:val="175777914"/>
        <w:rPr>
          <w:rFonts w:ascii="Arial" w:eastAsia="Times New Roman" w:hAnsi="Arial" w:cs="Arial"/>
          <w:sz w:val="24"/>
          <w:szCs w:val="24"/>
          <w:lang w:val="en"/>
        </w:rPr>
      </w:pPr>
    </w:p>
    <w:p w14:paraId="1CA02D86" w14:textId="77777777" w:rsidR="00613A7D" w:rsidRDefault="00613A7D" w:rsidP="003430D4">
      <w:pPr>
        <w:spacing w:after="0" w:line="276" w:lineRule="auto"/>
        <w:divId w:val="70926866"/>
        <w:rPr>
          <w:rFonts w:ascii="Arial" w:eastAsia="Times New Roman" w:hAnsi="Arial" w:cs="Arial"/>
          <w:b/>
          <w:bCs/>
          <w:sz w:val="20"/>
          <w:szCs w:val="20"/>
          <w:lang w:val="en"/>
        </w:rPr>
      </w:pPr>
      <w:r>
        <w:rPr>
          <w:rFonts w:ascii="Arial" w:eastAsia="Times New Roman" w:hAnsi="Arial" w:cs="Arial"/>
          <w:b/>
          <w:bCs/>
          <w:sz w:val="20"/>
          <w:szCs w:val="20"/>
          <w:lang w:val="en"/>
        </w:rPr>
        <w:t xml:space="preserve">Flow Cytometry  </w:t>
      </w:r>
    </w:p>
    <w:p w14:paraId="47FF3D8E" w14:textId="77777777" w:rsidR="00613A7D" w:rsidRDefault="00613A7D" w:rsidP="003430D4">
      <w:pPr>
        <w:spacing w:after="0" w:line="276" w:lineRule="auto"/>
        <w:divId w:val="1519998685"/>
        <w:rPr>
          <w:rFonts w:ascii="Arial" w:eastAsia="Times New Roman" w:hAnsi="Arial" w:cs="Arial"/>
          <w:sz w:val="20"/>
          <w:szCs w:val="20"/>
          <w:lang w:val="en"/>
        </w:rPr>
      </w:pPr>
      <w:r>
        <w:rPr>
          <w:rFonts w:ascii="Arial" w:eastAsia="Times New Roman" w:hAnsi="Arial" w:cs="Arial"/>
          <w:sz w:val="20"/>
          <w:szCs w:val="20"/>
          <w:lang w:val="en"/>
        </w:rPr>
        <w:t xml:space="preserve">___ Not performed  </w:t>
      </w:r>
    </w:p>
    <w:p w14:paraId="25E93C31" w14:textId="77777777" w:rsidR="00613A7D" w:rsidRDefault="00613A7D" w:rsidP="003430D4">
      <w:pPr>
        <w:spacing w:after="0" w:line="276" w:lineRule="auto"/>
        <w:divId w:val="192159804"/>
        <w:rPr>
          <w:rFonts w:ascii="Arial" w:eastAsia="Times New Roman" w:hAnsi="Arial" w:cs="Arial"/>
          <w:sz w:val="20"/>
          <w:szCs w:val="20"/>
          <w:lang w:val="en"/>
        </w:rPr>
      </w:pPr>
      <w:r>
        <w:rPr>
          <w:rFonts w:ascii="Arial" w:eastAsia="Times New Roman" w:hAnsi="Arial" w:cs="Arial"/>
          <w:sz w:val="20"/>
          <w:szCs w:val="20"/>
          <w:lang w:val="en"/>
        </w:rPr>
        <w:t xml:space="preserve">___ No aberrancy detected at level of sensitivity of assay  </w:t>
      </w:r>
    </w:p>
    <w:p w14:paraId="7FB6E1D6" w14:textId="77777777" w:rsidR="00613A7D" w:rsidRDefault="00613A7D" w:rsidP="003430D4">
      <w:pPr>
        <w:spacing w:after="0" w:line="276" w:lineRule="auto"/>
        <w:divId w:val="786660832"/>
        <w:rPr>
          <w:rFonts w:ascii="Arial" w:eastAsia="Times New Roman" w:hAnsi="Arial" w:cs="Arial"/>
          <w:sz w:val="20"/>
          <w:szCs w:val="20"/>
          <w:lang w:val="en"/>
        </w:rPr>
      </w:pPr>
      <w:r>
        <w:rPr>
          <w:rFonts w:ascii="Arial" w:eastAsia="Times New Roman" w:hAnsi="Arial" w:cs="Arial"/>
          <w:sz w:val="20"/>
          <w:szCs w:val="20"/>
          <w:lang w:val="en"/>
        </w:rPr>
        <w:t>___ Positive for abnormal population (specify immunophenotype, if possible</w:t>
      </w:r>
      <w:proofErr w:type="gramStart"/>
      <w:r>
        <w:rPr>
          <w:rFonts w:ascii="Arial" w:eastAsia="Times New Roman" w:hAnsi="Arial" w:cs="Arial"/>
          <w:sz w:val="20"/>
          <w:szCs w:val="20"/>
          <w:lang w:val="en"/>
        </w:rPr>
        <w:t>): __</w:t>
      </w:r>
      <w:proofErr w:type="gramEnd"/>
      <w:r>
        <w:rPr>
          <w:rFonts w:ascii="Arial" w:eastAsia="Times New Roman" w:hAnsi="Arial" w:cs="Arial"/>
          <w:sz w:val="20"/>
          <w:szCs w:val="20"/>
          <w:lang w:val="en"/>
        </w:rPr>
        <w:t xml:space="preserve">_______________ </w:t>
      </w:r>
    </w:p>
    <w:p w14:paraId="2602DE3B" w14:textId="77777777" w:rsidR="00613A7D" w:rsidRDefault="00613A7D" w:rsidP="003430D4">
      <w:pPr>
        <w:spacing w:after="0" w:line="276" w:lineRule="auto"/>
        <w:divId w:val="655567824"/>
        <w:rPr>
          <w:rFonts w:ascii="Arial" w:eastAsia="Times New Roman" w:hAnsi="Arial" w:cs="Arial"/>
          <w:sz w:val="20"/>
          <w:szCs w:val="20"/>
          <w:lang w:val="en"/>
        </w:rPr>
      </w:pPr>
      <w:r>
        <w:rPr>
          <w:rFonts w:ascii="Arial" w:eastAsia="Times New Roman" w:hAnsi="Arial" w:cs="Arial"/>
          <w:sz w:val="20"/>
          <w:szCs w:val="20"/>
          <w:lang w:val="en"/>
        </w:rPr>
        <w:t xml:space="preserve">___ Pending  </w:t>
      </w:r>
    </w:p>
    <w:p w14:paraId="57145147" w14:textId="77777777" w:rsidR="00613A7D" w:rsidRDefault="00613A7D" w:rsidP="003430D4">
      <w:pPr>
        <w:spacing w:after="0" w:line="276" w:lineRule="auto"/>
        <w:divId w:val="175777914"/>
        <w:rPr>
          <w:rFonts w:ascii="Arial" w:eastAsia="Times New Roman" w:hAnsi="Arial" w:cs="Arial"/>
          <w:sz w:val="24"/>
          <w:szCs w:val="24"/>
          <w:lang w:val="en"/>
        </w:rPr>
      </w:pPr>
    </w:p>
    <w:p w14:paraId="417EF473" w14:textId="77777777" w:rsidR="00613A7D" w:rsidRDefault="00613A7D" w:rsidP="003430D4">
      <w:pPr>
        <w:spacing w:after="0" w:line="276" w:lineRule="auto"/>
        <w:divId w:val="1777482561"/>
        <w:rPr>
          <w:rFonts w:ascii="Arial" w:eastAsia="Times New Roman" w:hAnsi="Arial" w:cs="Arial"/>
          <w:b/>
          <w:bCs/>
          <w:sz w:val="20"/>
          <w:szCs w:val="20"/>
          <w:lang w:val="en"/>
        </w:rPr>
      </w:pPr>
      <w:r>
        <w:rPr>
          <w:rFonts w:ascii="Arial" w:eastAsia="Times New Roman" w:hAnsi="Arial" w:cs="Arial"/>
          <w:b/>
          <w:bCs/>
          <w:sz w:val="20"/>
          <w:szCs w:val="20"/>
          <w:lang w:val="en"/>
        </w:rPr>
        <w:t xml:space="preserve">Conventional Cytogenetics  </w:t>
      </w:r>
    </w:p>
    <w:p w14:paraId="3E74A995" w14:textId="77777777" w:rsidR="00613A7D" w:rsidRDefault="00613A7D" w:rsidP="003430D4">
      <w:pPr>
        <w:spacing w:after="0" w:line="276" w:lineRule="auto"/>
        <w:divId w:val="958729352"/>
        <w:rPr>
          <w:rFonts w:ascii="Arial" w:eastAsia="Times New Roman" w:hAnsi="Arial" w:cs="Arial"/>
          <w:sz w:val="20"/>
          <w:szCs w:val="20"/>
          <w:lang w:val="en"/>
        </w:rPr>
      </w:pPr>
      <w:r>
        <w:rPr>
          <w:rFonts w:ascii="Arial" w:eastAsia="Times New Roman" w:hAnsi="Arial" w:cs="Arial"/>
          <w:sz w:val="20"/>
          <w:szCs w:val="20"/>
          <w:lang w:val="en"/>
        </w:rPr>
        <w:t xml:space="preserve">___ Not performed  </w:t>
      </w:r>
    </w:p>
    <w:p w14:paraId="1C9A8FC0" w14:textId="77777777" w:rsidR="00613A7D" w:rsidRDefault="00613A7D" w:rsidP="003430D4">
      <w:pPr>
        <w:spacing w:after="0" w:line="276" w:lineRule="auto"/>
        <w:divId w:val="1037510874"/>
        <w:rPr>
          <w:rFonts w:ascii="Arial" w:eastAsia="Times New Roman" w:hAnsi="Arial" w:cs="Arial"/>
          <w:sz w:val="20"/>
          <w:szCs w:val="20"/>
          <w:lang w:val="en"/>
        </w:rPr>
      </w:pPr>
      <w:r>
        <w:rPr>
          <w:rFonts w:ascii="Arial" w:eastAsia="Times New Roman" w:hAnsi="Arial" w:cs="Arial"/>
          <w:sz w:val="20"/>
          <w:szCs w:val="20"/>
          <w:lang w:val="en"/>
        </w:rPr>
        <w:t xml:space="preserve">___ No valid result(s) / no growth  </w:t>
      </w:r>
    </w:p>
    <w:p w14:paraId="70896B53" w14:textId="77777777" w:rsidR="00613A7D" w:rsidRDefault="00613A7D" w:rsidP="003430D4">
      <w:pPr>
        <w:spacing w:after="0" w:line="276" w:lineRule="auto"/>
        <w:divId w:val="1093353774"/>
        <w:rPr>
          <w:rFonts w:ascii="Arial" w:eastAsia="Times New Roman" w:hAnsi="Arial" w:cs="Arial"/>
          <w:sz w:val="20"/>
          <w:szCs w:val="20"/>
          <w:lang w:val="en"/>
        </w:rPr>
      </w:pPr>
      <w:r>
        <w:rPr>
          <w:rFonts w:ascii="Arial" w:eastAsia="Times New Roman" w:hAnsi="Arial" w:cs="Arial"/>
          <w:sz w:val="20"/>
          <w:szCs w:val="20"/>
          <w:lang w:val="en"/>
        </w:rPr>
        <w:t xml:space="preserve">___ Normal diploid karyotype  </w:t>
      </w:r>
    </w:p>
    <w:p w14:paraId="62E7404B" w14:textId="77777777" w:rsidR="00613A7D" w:rsidRDefault="00613A7D" w:rsidP="003430D4">
      <w:pPr>
        <w:spacing w:after="0" w:line="276" w:lineRule="auto"/>
        <w:divId w:val="522785994"/>
        <w:rPr>
          <w:rFonts w:ascii="Arial" w:eastAsia="Times New Roman" w:hAnsi="Arial" w:cs="Arial"/>
          <w:sz w:val="20"/>
          <w:szCs w:val="20"/>
          <w:lang w:val="en"/>
        </w:rPr>
      </w:pPr>
      <w:r>
        <w:rPr>
          <w:rFonts w:ascii="Arial" w:eastAsia="Times New Roman" w:hAnsi="Arial" w:cs="Arial"/>
          <w:sz w:val="20"/>
          <w:szCs w:val="20"/>
          <w:lang w:val="en"/>
        </w:rPr>
        <w:t xml:space="preserve">___ Abnormal karyotype (specify, if possible): _________________ </w:t>
      </w:r>
    </w:p>
    <w:p w14:paraId="5C9A61E0" w14:textId="77777777" w:rsidR="00613A7D" w:rsidRDefault="00613A7D" w:rsidP="003430D4">
      <w:pPr>
        <w:spacing w:after="0" w:line="276" w:lineRule="auto"/>
        <w:divId w:val="401412188"/>
        <w:rPr>
          <w:rFonts w:ascii="Arial" w:eastAsia="Times New Roman" w:hAnsi="Arial" w:cs="Arial"/>
          <w:sz w:val="20"/>
          <w:szCs w:val="20"/>
          <w:lang w:val="en"/>
        </w:rPr>
      </w:pPr>
      <w:r>
        <w:rPr>
          <w:rFonts w:ascii="Arial" w:eastAsia="Times New Roman" w:hAnsi="Arial" w:cs="Arial"/>
          <w:sz w:val="20"/>
          <w:szCs w:val="20"/>
          <w:lang w:val="en"/>
        </w:rPr>
        <w:t xml:space="preserve">___ Pending  </w:t>
      </w:r>
    </w:p>
    <w:p w14:paraId="29A9A60B" w14:textId="77777777" w:rsidR="00613A7D" w:rsidRDefault="00613A7D" w:rsidP="003430D4">
      <w:pPr>
        <w:spacing w:after="0" w:line="276" w:lineRule="auto"/>
        <w:divId w:val="175777914"/>
        <w:rPr>
          <w:rFonts w:ascii="Arial" w:eastAsia="Times New Roman" w:hAnsi="Arial" w:cs="Arial"/>
          <w:sz w:val="24"/>
          <w:szCs w:val="24"/>
          <w:lang w:val="en"/>
        </w:rPr>
      </w:pPr>
    </w:p>
    <w:p w14:paraId="6C53BB66" w14:textId="4DC41663" w:rsidR="00613A7D" w:rsidRDefault="00613A7D" w:rsidP="003430D4">
      <w:pPr>
        <w:spacing w:after="0" w:line="276" w:lineRule="auto"/>
        <w:divId w:val="639383547"/>
        <w:rPr>
          <w:rFonts w:ascii="Arial" w:eastAsia="Times New Roman" w:hAnsi="Arial" w:cs="Arial"/>
          <w:b/>
          <w:bCs/>
          <w:sz w:val="20"/>
          <w:szCs w:val="20"/>
          <w:lang w:val="en"/>
        </w:rPr>
      </w:pPr>
      <w:r>
        <w:rPr>
          <w:rFonts w:ascii="Arial" w:eastAsia="Times New Roman" w:hAnsi="Arial" w:cs="Arial"/>
          <w:b/>
          <w:bCs/>
          <w:sz w:val="20"/>
          <w:szCs w:val="20"/>
          <w:lang w:val="en"/>
        </w:rPr>
        <w:t xml:space="preserve">Fluorescence in situ </w:t>
      </w:r>
      <w:r w:rsidR="00D8707A">
        <w:rPr>
          <w:rFonts w:ascii="Arial" w:eastAsia="Times New Roman" w:hAnsi="Arial" w:cs="Arial"/>
          <w:b/>
          <w:bCs/>
          <w:sz w:val="20"/>
          <w:szCs w:val="20"/>
          <w:lang w:val="en"/>
        </w:rPr>
        <w:t>Hybridization (</w:t>
      </w:r>
      <w:r>
        <w:rPr>
          <w:rFonts w:ascii="Arial" w:eastAsia="Times New Roman" w:hAnsi="Arial" w:cs="Arial"/>
          <w:b/>
          <w:bCs/>
          <w:sz w:val="20"/>
          <w:szCs w:val="20"/>
          <w:lang w:val="en"/>
        </w:rPr>
        <w:t xml:space="preserve">select all that apply) </w:t>
      </w:r>
    </w:p>
    <w:p w14:paraId="63493C3A" w14:textId="77777777" w:rsidR="00613A7D" w:rsidRDefault="00613A7D" w:rsidP="003430D4">
      <w:pPr>
        <w:spacing w:after="0" w:line="276" w:lineRule="auto"/>
        <w:divId w:val="813721574"/>
        <w:rPr>
          <w:rFonts w:ascii="Arial" w:eastAsia="Times New Roman" w:hAnsi="Arial" w:cs="Arial"/>
          <w:sz w:val="20"/>
          <w:szCs w:val="20"/>
          <w:lang w:val="en"/>
        </w:rPr>
      </w:pPr>
      <w:r>
        <w:rPr>
          <w:rFonts w:ascii="Arial" w:eastAsia="Times New Roman" w:hAnsi="Arial" w:cs="Arial"/>
          <w:sz w:val="20"/>
          <w:szCs w:val="20"/>
          <w:lang w:val="en"/>
        </w:rPr>
        <w:t xml:space="preserve">___ Not performed  </w:t>
      </w:r>
    </w:p>
    <w:p w14:paraId="0B9866CC" w14:textId="77777777" w:rsidR="00613A7D" w:rsidRDefault="00613A7D" w:rsidP="003430D4">
      <w:pPr>
        <w:spacing w:after="0" w:line="276" w:lineRule="auto"/>
        <w:divId w:val="345521915"/>
        <w:rPr>
          <w:rFonts w:ascii="Arial" w:eastAsia="Times New Roman" w:hAnsi="Arial" w:cs="Arial"/>
          <w:sz w:val="20"/>
          <w:szCs w:val="20"/>
          <w:lang w:val="en"/>
        </w:rPr>
      </w:pPr>
      <w:r>
        <w:rPr>
          <w:rFonts w:ascii="Arial" w:eastAsia="Times New Roman" w:hAnsi="Arial" w:cs="Arial"/>
          <w:sz w:val="20"/>
          <w:szCs w:val="20"/>
          <w:lang w:val="en"/>
        </w:rPr>
        <w:t xml:space="preserve">___ Normal probes (specify loci tested): _________________ </w:t>
      </w:r>
    </w:p>
    <w:p w14:paraId="70AC5EE6" w14:textId="77777777" w:rsidR="00613A7D" w:rsidRDefault="00613A7D" w:rsidP="003430D4">
      <w:pPr>
        <w:spacing w:after="0" w:line="276" w:lineRule="auto"/>
        <w:divId w:val="814764657"/>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Hyperdiploidy</w:t>
      </w:r>
      <w:proofErr w:type="spellEnd"/>
      <w:r>
        <w:rPr>
          <w:rFonts w:ascii="Arial" w:eastAsia="Times New Roman" w:hAnsi="Arial" w:cs="Arial"/>
          <w:sz w:val="20"/>
          <w:szCs w:val="20"/>
          <w:lang w:val="en"/>
        </w:rPr>
        <w:t xml:space="preserve">  </w:t>
      </w:r>
    </w:p>
    <w:p w14:paraId="1FC17FA3" w14:textId="77777777" w:rsidR="00613A7D" w:rsidRDefault="00613A7D" w:rsidP="003430D4">
      <w:pPr>
        <w:spacing w:after="0" w:line="276" w:lineRule="auto"/>
        <w:divId w:val="1200816897"/>
        <w:rPr>
          <w:rFonts w:ascii="Arial" w:eastAsia="Times New Roman" w:hAnsi="Arial" w:cs="Arial"/>
          <w:sz w:val="20"/>
          <w:szCs w:val="20"/>
          <w:lang w:val="en"/>
        </w:rPr>
      </w:pPr>
      <w:r>
        <w:rPr>
          <w:rFonts w:ascii="Arial" w:eastAsia="Times New Roman" w:hAnsi="Arial" w:cs="Arial"/>
          <w:sz w:val="20"/>
          <w:szCs w:val="20"/>
          <w:lang w:val="en"/>
        </w:rPr>
        <w:t xml:space="preserve">___ 13q (RB1) deletion  </w:t>
      </w:r>
    </w:p>
    <w:p w14:paraId="5D4A6136" w14:textId="77777777" w:rsidR="00613A7D" w:rsidRDefault="00613A7D" w:rsidP="003430D4">
      <w:pPr>
        <w:spacing w:after="0" w:line="276" w:lineRule="auto"/>
        <w:divId w:val="862479951"/>
        <w:rPr>
          <w:rFonts w:ascii="Arial" w:eastAsia="Times New Roman" w:hAnsi="Arial" w:cs="Arial"/>
          <w:sz w:val="20"/>
          <w:szCs w:val="20"/>
          <w:lang w:val="en"/>
        </w:rPr>
      </w:pPr>
      <w:r>
        <w:rPr>
          <w:rFonts w:ascii="Arial" w:eastAsia="Times New Roman" w:hAnsi="Arial" w:cs="Arial"/>
          <w:sz w:val="20"/>
          <w:szCs w:val="20"/>
          <w:lang w:val="en"/>
        </w:rPr>
        <w:t xml:space="preserve">___ 1q21 gain / amplification (CKS1B, ADAR1)  </w:t>
      </w:r>
    </w:p>
    <w:p w14:paraId="09803C06" w14:textId="77777777" w:rsidR="00613A7D" w:rsidRDefault="00613A7D" w:rsidP="003430D4">
      <w:pPr>
        <w:spacing w:after="0" w:line="276" w:lineRule="auto"/>
        <w:divId w:val="302395684"/>
        <w:rPr>
          <w:rFonts w:ascii="Arial" w:eastAsia="Times New Roman" w:hAnsi="Arial" w:cs="Arial"/>
          <w:sz w:val="20"/>
          <w:szCs w:val="20"/>
          <w:lang w:val="en"/>
        </w:rPr>
      </w:pPr>
      <w:r>
        <w:rPr>
          <w:rFonts w:ascii="Arial" w:eastAsia="Times New Roman" w:hAnsi="Arial" w:cs="Arial"/>
          <w:sz w:val="20"/>
          <w:szCs w:val="20"/>
          <w:lang w:val="en"/>
        </w:rPr>
        <w:t xml:space="preserve">___ 1p32 deletion (CDKN2C)  </w:t>
      </w:r>
    </w:p>
    <w:p w14:paraId="178B58C5" w14:textId="77777777" w:rsidR="00613A7D" w:rsidRDefault="00613A7D" w:rsidP="003430D4">
      <w:pPr>
        <w:spacing w:after="0" w:line="276" w:lineRule="auto"/>
        <w:divId w:val="1262564833"/>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t(</w:t>
      </w:r>
      <w:proofErr w:type="gramEnd"/>
      <w:r>
        <w:rPr>
          <w:rFonts w:ascii="Arial" w:eastAsia="Times New Roman" w:hAnsi="Arial" w:cs="Arial"/>
          <w:sz w:val="20"/>
          <w:szCs w:val="20"/>
          <w:lang w:val="en"/>
        </w:rPr>
        <w:t>11;14) (q</w:t>
      </w:r>
      <w:proofErr w:type="gramStart"/>
      <w:r>
        <w:rPr>
          <w:rFonts w:ascii="Arial" w:eastAsia="Times New Roman" w:hAnsi="Arial" w:cs="Arial"/>
          <w:sz w:val="20"/>
          <w:szCs w:val="20"/>
          <w:lang w:val="en"/>
        </w:rPr>
        <w:t>13;q</w:t>
      </w:r>
      <w:proofErr w:type="gramEnd"/>
      <w:r>
        <w:rPr>
          <w:rFonts w:ascii="Arial" w:eastAsia="Times New Roman" w:hAnsi="Arial" w:cs="Arial"/>
          <w:sz w:val="20"/>
          <w:szCs w:val="20"/>
          <w:lang w:val="en"/>
        </w:rPr>
        <w:t>32) (CCND</w:t>
      </w:r>
      <w:proofErr w:type="gramStart"/>
      <w:r>
        <w:rPr>
          <w:rFonts w:ascii="Arial" w:eastAsia="Times New Roman" w:hAnsi="Arial" w:cs="Arial"/>
          <w:sz w:val="20"/>
          <w:szCs w:val="20"/>
          <w:lang w:val="en"/>
        </w:rPr>
        <w:t>1::</w:t>
      </w:r>
      <w:proofErr w:type="gramEnd"/>
      <w:r>
        <w:rPr>
          <w:rFonts w:ascii="Arial" w:eastAsia="Times New Roman" w:hAnsi="Arial" w:cs="Arial"/>
          <w:sz w:val="20"/>
          <w:szCs w:val="20"/>
          <w:lang w:val="en"/>
        </w:rPr>
        <w:t xml:space="preserve">IGH) translocation  </w:t>
      </w:r>
    </w:p>
    <w:p w14:paraId="57D945F2" w14:textId="77777777" w:rsidR="00613A7D" w:rsidRDefault="00613A7D" w:rsidP="003430D4">
      <w:pPr>
        <w:spacing w:after="0" w:line="276" w:lineRule="auto"/>
        <w:divId w:val="159077284"/>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t(</w:t>
      </w:r>
      <w:proofErr w:type="gramEnd"/>
      <w:r>
        <w:rPr>
          <w:rFonts w:ascii="Arial" w:eastAsia="Times New Roman" w:hAnsi="Arial" w:cs="Arial"/>
          <w:sz w:val="20"/>
          <w:szCs w:val="20"/>
          <w:lang w:val="en"/>
        </w:rPr>
        <w:t>4;14) (p</w:t>
      </w:r>
      <w:proofErr w:type="gramStart"/>
      <w:r>
        <w:rPr>
          <w:rFonts w:ascii="Arial" w:eastAsia="Times New Roman" w:hAnsi="Arial" w:cs="Arial"/>
          <w:sz w:val="20"/>
          <w:szCs w:val="20"/>
          <w:lang w:val="en"/>
        </w:rPr>
        <w:t>16;q</w:t>
      </w:r>
      <w:proofErr w:type="gramEnd"/>
      <w:r>
        <w:rPr>
          <w:rFonts w:ascii="Arial" w:eastAsia="Times New Roman" w:hAnsi="Arial" w:cs="Arial"/>
          <w:sz w:val="20"/>
          <w:szCs w:val="20"/>
          <w:lang w:val="en"/>
        </w:rPr>
        <w:t>32) (FGFR</w:t>
      </w:r>
      <w:proofErr w:type="gramStart"/>
      <w:r>
        <w:rPr>
          <w:rFonts w:ascii="Arial" w:eastAsia="Times New Roman" w:hAnsi="Arial" w:cs="Arial"/>
          <w:sz w:val="20"/>
          <w:szCs w:val="20"/>
          <w:lang w:val="en"/>
        </w:rPr>
        <w:t>3::</w:t>
      </w:r>
      <w:proofErr w:type="gramEnd"/>
      <w:r>
        <w:rPr>
          <w:rFonts w:ascii="Arial" w:eastAsia="Times New Roman" w:hAnsi="Arial" w:cs="Arial"/>
          <w:sz w:val="20"/>
          <w:szCs w:val="20"/>
          <w:lang w:val="en"/>
        </w:rPr>
        <w:t xml:space="preserve">IGH) translocation  </w:t>
      </w:r>
    </w:p>
    <w:p w14:paraId="455D4096" w14:textId="77777777" w:rsidR="00613A7D" w:rsidRDefault="00613A7D" w:rsidP="003430D4">
      <w:pPr>
        <w:spacing w:after="0" w:line="276" w:lineRule="auto"/>
        <w:divId w:val="1464733475"/>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t(</w:t>
      </w:r>
      <w:proofErr w:type="gramEnd"/>
      <w:r>
        <w:rPr>
          <w:rFonts w:ascii="Arial" w:eastAsia="Times New Roman" w:hAnsi="Arial" w:cs="Arial"/>
          <w:sz w:val="20"/>
          <w:szCs w:val="20"/>
          <w:lang w:val="en"/>
        </w:rPr>
        <w:t>14;16) (q</w:t>
      </w:r>
      <w:proofErr w:type="gramStart"/>
      <w:r>
        <w:rPr>
          <w:rFonts w:ascii="Arial" w:eastAsia="Times New Roman" w:hAnsi="Arial" w:cs="Arial"/>
          <w:sz w:val="20"/>
          <w:szCs w:val="20"/>
          <w:lang w:val="en"/>
        </w:rPr>
        <w:t>32;q</w:t>
      </w:r>
      <w:proofErr w:type="gramEnd"/>
      <w:r>
        <w:rPr>
          <w:rFonts w:ascii="Arial" w:eastAsia="Times New Roman" w:hAnsi="Arial" w:cs="Arial"/>
          <w:sz w:val="20"/>
          <w:szCs w:val="20"/>
          <w:lang w:val="en"/>
        </w:rPr>
        <w:t>23) (</w:t>
      </w:r>
      <w:proofErr w:type="gramStart"/>
      <w:r>
        <w:rPr>
          <w:rFonts w:ascii="Arial" w:eastAsia="Times New Roman" w:hAnsi="Arial" w:cs="Arial"/>
          <w:sz w:val="20"/>
          <w:szCs w:val="20"/>
          <w:lang w:val="en"/>
        </w:rPr>
        <w:t>IGH::</w:t>
      </w:r>
      <w:proofErr w:type="gramEnd"/>
      <w:r>
        <w:rPr>
          <w:rFonts w:ascii="Arial" w:eastAsia="Times New Roman" w:hAnsi="Arial" w:cs="Arial"/>
          <w:sz w:val="20"/>
          <w:szCs w:val="20"/>
          <w:lang w:val="en"/>
        </w:rPr>
        <w:t xml:space="preserve">MAF) translocation  </w:t>
      </w:r>
    </w:p>
    <w:p w14:paraId="25839502" w14:textId="77777777" w:rsidR="00613A7D" w:rsidRDefault="00613A7D" w:rsidP="003430D4">
      <w:pPr>
        <w:spacing w:after="0" w:line="276" w:lineRule="auto"/>
        <w:divId w:val="1176849462"/>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t(</w:t>
      </w:r>
      <w:proofErr w:type="gramEnd"/>
      <w:r>
        <w:rPr>
          <w:rFonts w:ascii="Arial" w:eastAsia="Times New Roman" w:hAnsi="Arial" w:cs="Arial"/>
          <w:sz w:val="20"/>
          <w:szCs w:val="20"/>
          <w:lang w:val="en"/>
        </w:rPr>
        <w:t>6;14) (p</w:t>
      </w:r>
      <w:proofErr w:type="gramStart"/>
      <w:r>
        <w:rPr>
          <w:rFonts w:ascii="Arial" w:eastAsia="Times New Roman" w:hAnsi="Arial" w:cs="Arial"/>
          <w:sz w:val="20"/>
          <w:szCs w:val="20"/>
          <w:lang w:val="en"/>
        </w:rPr>
        <w:t>25;q</w:t>
      </w:r>
      <w:proofErr w:type="gramEnd"/>
      <w:r>
        <w:rPr>
          <w:rFonts w:ascii="Arial" w:eastAsia="Times New Roman" w:hAnsi="Arial" w:cs="Arial"/>
          <w:sz w:val="20"/>
          <w:szCs w:val="20"/>
          <w:lang w:val="en"/>
        </w:rPr>
        <w:t>32) (CCND</w:t>
      </w:r>
      <w:proofErr w:type="gramStart"/>
      <w:r>
        <w:rPr>
          <w:rFonts w:ascii="Arial" w:eastAsia="Times New Roman" w:hAnsi="Arial" w:cs="Arial"/>
          <w:sz w:val="20"/>
          <w:szCs w:val="20"/>
          <w:lang w:val="en"/>
        </w:rPr>
        <w:t>3::</w:t>
      </w:r>
      <w:proofErr w:type="gramEnd"/>
      <w:r>
        <w:rPr>
          <w:rFonts w:ascii="Arial" w:eastAsia="Times New Roman" w:hAnsi="Arial" w:cs="Arial"/>
          <w:sz w:val="20"/>
          <w:szCs w:val="20"/>
          <w:lang w:val="en"/>
        </w:rPr>
        <w:t xml:space="preserve">IGH) translocation  </w:t>
      </w:r>
    </w:p>
    <w:p w14:paraId="43F83163" w14:textId="77777777" w:rsidR="00613A7D" w:rsidRDefault="00613A7D" w:rsidP="003430D4">
      <w:pPr>
        <w:spacing w:after="0" w:line="276" w:lineRule="auto"/>
        <w:divId w:val="1267078739"/>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t(</w:t>
      </w:r>
      <w:proofErr w:type="gramEnd"/>
      <w:r>
        <w:rPr>
          <w:rFonts w:ascii="Arial" w:eastAsia="Times New Roman" w:hAnsi="Arial" w:cs="Arial"/>
          <w:sz w:val="20"/>
          <w:szCs w:val="20"/>
          <w:lang w:val="en"/>
        </w:rPr>
        <w:t>12;14) (p</w:t>
      </w:r>
      <w:proofErr w:type="gramStart"/>
      <w:r>
        <w:rPr>
          <w:rFonts w:ascii="Arial" w:eastAsia="Times New Roman" w:hAnsi="Arial" w:cs="Arial"/>
          <w:sz w:val="20"/>
          <w:szCs w:val="20"/>
          <w:lang w:val="en"/>
        </w:rPr>
        <w:t>13;q</w:t>
      </w:r>
      <w:proofErr w:type="gramEnd"/>
      <w:r>
        <w:rPr>
          <w:rFonts w:ascii="Arial" w:eastAsia="Times New Roman" w:hAnsi="Arial" w:cs="Arial"/>
          <w:sz w:val="20"/>
          <w:szCs w:val="20"/>
          <w:lang w:val="en"/>
        </w:rPr>
        <w:t>32) (CCND</w:t>
      </w:r>
      <w:proofErr w:type="gramStart"/>
      <w:r>
        <w:rPr>
          <w:rFonts w:ascii="Arial" w:eastAsia="Times New Roman" w:hAnsi="Arial" w:cs="Arial"/>
          <w:sz w:val="20"/>
          <w:szCs w:val="20"/>
          <w:lang w:val="en"/>
        </w:rPr>
        <w:t>2::</w:t>
      </w:r>
      <w:proofErr w:type="gramEnd"/>
      <w:r>
        <w:rPr>
          <w:rFonts w:ascii="Arial" w:eastAsia="Times New Roman" w:hAnsi="Arial" w:cs="Arial"/>
          <w:sz w:val="20"/>
          <w:szCs w:val="20"/>
          <w:lang w:val="en"/>
        </w:rPr>
        <w:t xml:space="preserve">IGH) translocation  </w:t>
      </w:r>
    </w:p>
    <w:p w14:paraId="238B7DA1" w14:textId="77777777" w:rsidR="00613A7D" w:rsidRDefault="00613A7D" w:rsidP="003430D4">
      <w:pPr>
        <w:spacing w:after="0" w:line="276" w:lineRule="auto"/>
        <w:divId w:val="1824160981"/>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t(</w:t>
      </w:r>
      <w:proofErr w:type="gramEnd"/>
      <w:r>
        <w:rPr>
          <w:rFonts w:ascii="Arial" w:eastAsia="Times New Roman" w:hAnsi="Arial" w:cs="Arial"/>
          <w:sz w:val="20"/>
          <w:szCs w:val="20"/>
          <w:lang w:val="en"/>
        </w:rPr>
        <w:t>14;20) (q</w:t>
      </w:r>
      <w:proofErr w:type="gramStart"/>
      <w:r>
        <w:rPr>
          <w:rFonts w:ascii="Arial" w:eastAsia="Times New Roman" w:hAnsi="Arial" w:cs="Arial"/>
          <w:sz w:val="20"/>
          <w:szCs w:val="20"/>
          <w:lang w:val="en"/>
        </w:rPr>
        <w:t>32;q</w:t>
      </w:r>
      <w:proofErr w:type="gramEnd"/>
      <w:r>
        <w:rPr>
          <w:rFonts w:ascii="Arial" w:eastAsia="Times New Roman" w:hAnsi="Arial" w:cs="Arial"/>
          <w:sz w:val="20"/>
          <w:szCs w:val="20"/>
          <w:lang w:val="en"/>
        </w:rPr>
        <w:t>11) (</w:t>
      </w:r>
      <w:proofErr w:type="gramStart"/>
      <w:r>
        <w:rPr>
          <w:rFonts w:ascii="Arial" w:eastAsia="Times New Roman" w:hAnsi="Arial" w:cs="Arial"/>
          <w:sz w:val="20"/>
          <w:szCs w:val="20"/>
          <w:lang w:val="en"/>
        </w:rPr>
        <w:t>IGH::</w:t>
      </w:r>
      <w:proofErr w:type="gramEnd"/>
      <w:r>
        <w:rPr>
          <w:rFonts w:ascii="Arial" w:eastAsia="Times New Roman" w:hAnsi="Arial" w:cs="Arial"/>
          <w:sz w:val="20"/>
          <w:szCs w:val="20"/>
          <w:lang w:val="en"/>
        </w:rPr>
        <w:t xml:space="preserve">MAFB) translocation  </w:t>
      </w:r>
    </w:p>
    <w:p w14:paraId="395F5B16" w14:textId="77777777" w:rsidR="00613A7D" w:rsidRDefault="00613A7D" w:rsidP="003430D4">
      <w:pPr>
        <w:spacing w:after="0" w:line="276" w:lineRule="auto"/>
        <w:divId w:val="766000338"/>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t(</w:t>
      </w:r>
      <w:proofErr w:type="gramEnd"/>
      <w:r>
        <w:rPr>
          <w:rFonts w:ascii="Arial" w:eastAsia="Times New Roman" w:hAnsi="Arial" w:cs="Arial"/>
          <w:sz w:val="20"/>
          <w:szCs w:val="20"/>
          <w:lang w:val="en"/>
        </w:rPr>
        <w:t>8;14) (q</w:t>
      </w:r>
      <w:proofErr w:type="gramStart"/>
      <w:r>
        <w:rPr>
          <w:rFonts w:ascii="Arial" w:eastAsia="Times New Roman" w:hAnsi="Arial" w:cs="Arial"/>
          <w:sz w:val="20"/>
          <w:szCs w:val="20"/>
          <w:lang w:val="en"/>
        </w:rPr>
        <w:t>24;q</w:t>
      </w:r>
      <w:proofErr w:type="gramEnd"/>
      <w:r>
        <w:rPr>
          <w:rFonts w:ascii="Arial" w:eastAsia="Times New Roman" w:hAnsi="Arial" w:cs="Arial"/>
          <w:sz w:val="20"/>
          <w:szCs w:val="20"/>
          <w:lang w:val="en"/>
        </w:rPr>
        <w:t>32) (</w:t>
      </w:r>
      <w:proofErr w:type="gramStart"/>
      <w:r>
        <w:rPr>
          <w:rFonts w:ascii="Arial" w:eastAsia="Times New Roman" w:hAnsi="Arial" w:cs="Arial"/>
          <w:sz w:val="20"/>
          <w:szCs w:val="20"/>
          <w:lang w:val="en"/>
        </w:rPr>
        <w:t>MYC::</w:t>
      </w:r>
      <w:proofErr w:type="gramEnd"/>
      <w:r>
        <w:rPr>
          <w:rFonts w:ascii="Arial" w:eastAsia="Times New Roman" w:hAnsi="Arial" w:cs="Arial"/>
          <w:sz w:val="20"/>
          <w:szCs w:val="20"/>
          <w:lang w:val="en"/>
        </w:rPr>
        <w:t xml:space="preserve">IGH) translocation  </w:t>
      </w:r>
    </w:p>
    <w:p w14:paraId="1A362D6A" w14:textId="77777777" w:rsidR="00613A7D" w:rsidRDefault="00613A7D" w:rsidP="003430D4">
      <w:pPr>
        <w:spacing w:after="0" w:line="276" w:lineRule="auto"/>
        <w:divId w:val="1392190424"/>
        <w:rPr>
          <w:rFonts w:ascii="Arial" w:eastAsia="Times New Roman" w:hAnsi="Arial" w:cs="Arial"/>
          <w:sz w:val="20"/>
          <w:szCs w:val="20"/>
          <w:lang w:val="en"/>
        </w:rPr>
      </w:pPr>
      <w:r>
        <w:rPr>
          <w:rFonts w:ascii="Arial" w:eastAsia="Times New Roman" w:hAnsi="Arial" w:cs="Arial"/>
          <w:sz w:val="20"/>
          <w:szCs w:val="20"/>
          <w:lang w:val="en"/>
        </w:rPr>
        <w:t xml:space="preserve">___ 17p13 (TP53) deletion  </w:t>
      </w:r>
    </w:p>
    <w:p w14:paraId="2B790DDB" w14:textId="77777777" w:rsidR="00613A7D" w:rsidRDefault="00613A7D" w:rsidP="003430D4">
      <w:pPr>
        <w:spacing w:after="0" w:line="276" w:lineRule="auto"/>
        <w:divId w:val="669144460"/>
        <w:rPr>
          <w:rFonts w:ascii="Arial" w:eastAsia="Times New Roman" w:hAnsi="Arial" w:cs="Arial"/>
          <w:sz w:val="20"/>
          <w:szCs w:val="20"/>
          <w:lang w:val="en"/>
        </w:rPr>
      </w:pPr>
      <w:r>
        <w:rPr>
          <w:rFonts w:ascii="Arial" w:eastAsia="Times New Roman" w:hAnsi="Arial" w:cs="Arial"/>
          <w:sz w:val="20"/>
          <w:szCs w:val="20"/>
          <w:lang w:val="en"/>
        </w:rPr>
        <w:t xml:space="preserve">___ Abnormal probes (specify loci tested): _________________ </w:t>
      </w:r>
    </w:p>
    <w:p w14:paraId="5E1555EF" w14:textId="77777777" w:rsidR="00613A7D" w:rsidRDefault="00613A7D" w:rsidP="003430D4">
      <w:pPr>
        <w:spacing w:after="0" w:line="276" w:lineRule="auto"/>
        <w:divId w:val="175777914"/>
        <w:rPr>
          <w:rFonts w:ascii="Arial" w:eastAsia="Times New Roman" w:hAnsi="Arial" w:cs="Arial"/>
          <w:sz w:val="24"/>
          <w:szCs w:val="24"/>
          <w:lang w:val="en"/>
        </w:rPr>
      </w:pPr>
    </w:p>
    <w:p w14:paraId="738EA7AF" w14:textId="77777777" w:rsidR="00613A7D" w:rsidRDefault="00613A7D" w:rsidP="003430D4">
      <w:pPr>
        <w:spacing w:after="0" w:line="276" w:lineRule="auto"/>
        <w:divId w:val="1957129271"/>
        <w:rPr>
          <w:rFonts w:ascii="Arial" w:eastAsia="Times New Roman" w:hAnsi="Arial" w:cs="Arial"/>
          <w:b/>
          <w:bCs/>
          <w:sz w:val="20"/>
          <w:szCs w:val="20"/>
          <w:lang w:val="en"/>
        </w:rPr>
      </w:pPr>
      <w:r>
        <w:rPr>
          <w:rFonts w:ascii="Arial" w:eastAsia="Times New Roman" w:hAnsi="Arial" w:cs="Arial"/>
          <w:b/>
          <w:bCs/>
          <w:sz w:val="20"/>
          <w:szCs w:val="20"/>
          <w:lang w:val="en"/>
        </w:rPr>
        <w:t xml:space="preserve">+Molecular Alterations Detected  </w:t>
      </w:r>
    </w:p>
    <w:p w14:paraId="42C3DA10" w14:textId="77777777" w:rsidR="00613A7D" w:rsidRDefault="00613A7D" w:rsidP="003430D4">
      <w:pPr>
        <w:spacing w:after="0" w:line="276" w:lineRule="auto"/>
        <w:divId w:val="758989319"/>
        <w:rPr>
          <w:rFonts w:ascii="Arial" w:eastAsia="Times New Roman" w:hAnsi="Arial" w:cs="Arial"/>
          <w:sz w:val="20"/>
          <w:szCs w:val="20"/>
          <w:lang w:val="en"/>
        </w:rPr>
      </w:pPr>
      <w:r>
        <w:rPr>
          <w:rFonts w:ascii="Arial" w:eastAsia="Times New Roman" w:hAnsi="Arial" w:cs="Arial"/>
          <w:sz w:val="20"/>
          <w:szCs w:val="20"/>
          <w:lang w:val="en"/>
        </w:rPr>
        <w:t xml:space="preserve">___ Not performed  </w:t>
      </w:r>
    </w:p>
    <w:p w14:paraId="6E916A75" w14:textId="77777777" w:rsidR="00613A7D" w:rsidRDefault="00613A7D" w:rsidP="003430D4">
      <w:pPr>
        <w:spacing w:after="0" w:line="276" w:lineRule="auto"/>
        <w:divId w:val="878131252"/>
        <w:rPr>
          <w:rFonts w:ascii="Arial" w:eastAsia="Times New Roman" w:hAnsi="Arial" w:cs="Arial"/>
          <w:sz w:val="20"/>
          <w:szCs w:val="20"/>
          <w:lang w:val="en"/>
        </w:rPr>
      </w:pPr>
      <w:r>
        <w:rPr>
          <w:rFonts w:ascii="Arial" w:eastAsia="Times New Roman" w:hAnsi="Arial" w:cs="Arial"/>
          <w:sz w:val="20"/>
          <w:szCs w:val="20"/>
          <w:lang w:val="en"/>
        </w:rPr>
        <w:t xml:space="preserve">___ No alterations detected  </w:t>
      </w:r>
    </w:p>
    <w:p w14:paraId="5BADF1C1" w14:textId="77777777" w:rsidR="00613A7D" w:rsidRDefault="00613A7D" w:rsidP="003430D4">
      <w:pPr>
        <w:spacing w:after="0" w:line="276" w:lineRule="auto"/>
        <w:divId w:val="1230386327"/>
        <w:rPr>
          <w:rFonts w:ascii="Arial" w:eastAsia="Times New Roman" w:hAnsi="Arial" w:cs="Arial"/>
          <w:sz w:val="20"/>
          <w:szCs w:val="20"/>
          <w:lang w:val="en"/>
        </w:rPr>
      </w:pPr>
      <w:r>
        <w:rPr>
          <w:rFonts w:ascii="Arial" w:eastAsia="Times New Roman" w:hAnsi="Arial" w:cs="Arial"/>
          <w:sz w:val="20"/>
          <w:szCs w:val="20"/>
          <w:lang w:val="en"/>
        </w:rPr>
        <w:t xml:space="preserve">___ Abnormality detected (specify): _________________ </w:t>
      </w:r>
    </w:p>
    <w:p w14:paraId="3B205EA4" w14:textId="77777777" w:rsidR="00613A7D" w:rsidRDefault="00613A7D" w:rsidP="003430D4">
      <w:pPr>
        <w:spacing w:after="0" w:line="276" w:lineRule="auto"/>
        <w:divId w:val="175777914"/>
        <w:rPr>
          <w:rFonts w:ascii="Arial" w:eastAsia="Times New Roman" w:hAnsi="Arial" w:cs="Arial"/>
          <w:sz w:val="24"/>
          <w:szCs w:val="24"/>
          <w:lang w:val="en"/>
        </w:rPr>
      </w:pPr>
    </w:p>
    <w:p w14:paraId="63DB9823" w14:textId="77777777" w:rsidR="00613A7D" w:rsidRDefault="00613A7D" w:rsidP="003430D4">
      <w:pPr>
        <w:spacing w:after="0" w:line="276" w:lineRule="auto"/>
        <w:divId w:val="722946828"/>
        <w:rPr>
          <w:rFonts w:ascii="Arial" w:eastAsia="Times New Roman" w:hAnsi="Arial" w:cs="Arial"/>
          <w:b/>
          <w:bCs/>
          <w:sz w:val="20"/>
          <w:szCs w:val="20"/>
          <w:lang w:val="en"/>
        </w:rPr>
      </w:pPr>
      <w:r>
        <w:rPr>
          <w:rFonts w:ascii="Arial" w:eastAsia="Times New Roman" w:hAnsi="Arial" w:cs="Arial"/>
          <w:b/>
          <w:bCs/>
          <w:sz w:val="20"/>
          <w:szCs w:val="20"/>
          <w:lang w:val="en"/>
        </w:rPr>
        <w:t xml:space="preserve">+Specify Molecular Alterations Assayed: _________________ </w:t>
      </w:r>
    </w:p>
    <w:p w14:paraId="7A685964" w14:textId="77777777" w:rsidR="00613A7D" w:rsidRDefault="00613A7D" w:rsidP="003430D4">
      <w:pPr>
        <w:spacing w:after="0" w:line="276" w:lineRule="auto"/>
        <w:divId w:val="175777914"/>
        <w:rPr>
          <w:rFonts w:ascii="Arial" w:eastAsia="Times New Roman" w:hAnsi="Arial" w:cs="Arial"/>
          <w:sz w:val="24"/>
          <w:szCs w:val="24"/>
          <w:lang w:val="en"/>
        </w:rPr>
      </w:pPr>
    </w:p>
    <w:p w14:paraId="103A5A00" w14:textId="77777777" w:rsidR="00613A7D" w:rsidRDefault="00613A7D" w:rsidP="003430D4">
      <w:pPr>
        <w:spacing w:after="0" w:line="276" w:lineRule="auto"/>
        <w:divId w:val="698899813"/>
        <w:rPr>
          <w:rFonts w:ascii="Arial" w:eastAsia="Times New Roman" w:hAnsi="Arial" w:cs="Arial"/>
          <w:b/>
          <w:bCs/>
          <w:sz w:val="20"/>
          <w:szCs w:val="20"/>
          <w:lang w:val="en"/>
        </w:rPr>
      </w:pPr>
      <w:r>
        <w:rPr>
          <w:rFonts w:ascii="Arial" w:eastAsia="Times New Roman" w:hAnsi="Arial" w:cs="Arial"/>
          <w:b/>
          <w:bCs/>
          <w:sz w:val="20"/>
          <w:szCs w:val="20"/>
          <w:lang w:val="en"/>
        </w:rPr>
        <w:lastRenderedPageBreak/>
        <w:t xml:space="preserve">COMMENTS  </w:t>
      </w:r>
    </w:p>
    <w:p w14:paraId="299B7177" w14:textId="77777777" w:rsidR="00613A7D" w:rsidRDefault="00613A7D" w:rsidP="003430D4">
      <w:pPr>
        <w:spacing w:after="0" w:line="276" w:lineRule="auto"/>
        <w:divId w:val="175777914"/>
        <w:rPr>
          <w:rFonts w:ascii="Arial" w:eastAsia="Times New Roman" w:hAnsi="Arial" w:cs="Arial"/>
          <w:sz w:val="24"/>
          <w:szCs w:val="24"/>
          <w:lang w:val="en"/>
        </w:rPr>
      </w:pPr>
    </w:p>
    <w:p w14:paraId="4B5CB64D" w14:textId="77777777" w:rsidR="00613A7D" w:rsidRDefault="00613A7D" w:rsidP="003430D4">
      <w:pPr>
        <w:spacing w:after="0" w:line="276" w:lineRule="auto"/>
        <w:divId w:val="281807024"/>
        <w:rPr>
          <w:rFonts w:ascii="Arial" w:eastAsia="Times New Roman" w:hAnsi="Arial" w:cs="Arial"/>
          <w:b/>
          <w:bCs/>
          <w:sz w:val="20"/>
          <w:szCs w:val="20"/>
          <w:lang w:val="en"/>
        </w:rPr>
      </w:pPr>
      <w:r>
        <w:rPr>
          <w:rFonts w:ascii="Arial" w:eastAsia="Times New Roman" w:hAnsi="Arial" w:cs="Arial"/>
          <w:b/>
          <w:bCs/>
          <w:sz w:val="20"/>
          <w:szCs w:val="20"/>
          <w:lang w:val="en"/>
        </w:rPr>
        <w:t xml:space="preserve">Comment(s): _________________ </w:t>
      </w:r>
    </w:p>
    <w:p w14:paraId="3ECA7A2B" w14:textId="77777777" w:rsidR="00613A7D" w:rsidRDefault="00613A7D" w:rsidP="003430D4">
      <w:pPr>
        <w:pageBreakBefore/>
        <w:spacing w:after="0" w:line="276" w:lineRule="auto"/>
        <w:divId w:val="1182747150"/>
        <w:rPr>
          <w:rFonts w:ascii="Arial" w:eastAsia="Times New Roman" w:hAnsi="Arial" w:cs="Arial"/>
          <w:b/>
          <w:bCs/>
          <w:sz w:val="26"/>
          <w:szCs w:val="26"/>
          <w:lang w:val="en"/>
        </w:rPr>
      </w:pPr>
      <w:r>
        <w:rPr>
          <w:rFonts w:ascii="Arial" w:eastAsia="Times New Roman" w:hAnsi="Arial" w:cs="Arial"/>
          <w:b/>
          <w:bCs/>
          <w:sz w:val="26"/>
          <w:szCs w:val="26"/>
          <w:lang w:val="en"/>
        </w:rPr>
        <w:lastRenderedPageBreak/>
        <w:t>Explanatory Notes</w:t>
      </w:r>
    </w:p>
    <w:p w14:paraId="78BDA76C" w14:textId="77777777" w:rsidR="00613A7D" w:rsidRDefault="00613A7D" w:rsidP="003430D4">
      <w:pPr>
        <w:spacing w:after="0" w:line="276" w:lineRule="auto"/>
        <w:divId w:val="428745853"/>
        <w:rPr>
          <w:rFonts w:ascii="Arial" w:eastAsia="Times New Roman" w:hAnsi="Arial" w:cs="Arial"/>
          <w:b/>
          <w:bCs/>
          <w:sz w:val="20"/>
          <w:szCs w:val="20"/>
          <w:lang w:val="en"/>
        </w:rPr>
      </w:pPr>
      <w:bookmarkStart w:id="0" w:name="N12278"/>
      <w:r>
        <w:rPr>
          <w:rFonts w:ascii="Arial" w:eastAsia="Times New Roman" w:hAnsi="Arial" w:cs="Arial"/>
          <w:b/>
          <w:bCs/>
          <w:sz w:val="20"/>
          <w:szCs w:val="20"/>
          <w:lang w:val="en"/>
        </w:rPr>
        <w:t>A. Site of Involvement in Sample</w:t>
      </w:r>
      <w:bookmarkEnd w:id="0"/>
    </w:p>
    <w:p w14:paraId="1ECCD857" w14:textId="77777777" w:rsidR="00613A7D" w:rsidRDefault="00613A7D" w:rsidP="003430D4">
      <w:pPr>
        <w:pStyle w:val="NormalWeb"/>
        <w:spacing w:before="0" w:beforeAutospacing="0" w:after="0" w:afterAutospacing="0" w:line="276" w:lineRule="auto"/>
        <w:divId w:val="1608469170"/>
        <w:rPr>
          <w:lang w:val="en"/>
        </w:rPr>
      </w:pPr>
      <w:r>
        <w:rPr>
          <w:rFonts w:ascii="Arial" w:hAnsi="Arial" w:cs="Arial"/>
          <w:sz w:val="20"/>
          <w:szCs w:val="20"/>
          <w:lang w:val="en"/>
        </w:rPr>
        <w:t>Specify the site of involvement in the sample. Each of the choices includes if this is a targeted (directed at a particular bony or extramedullary lesion) or non-targeted biopsy. For bone marrow specimens accompanied with a blood sample, both bone marrow and blood can be selected if desired to facilitate reporting of any circulating clonal plasma cells in plasma cell myeloma. Report the percentage of clonal cells for bone marrow and/or blood-typically plasma cells for PCM/MM, abnormal clonal B-cells in heavy chain diseases. For targeted biopsies, specify the location of the biopsy.</w:t>
      </w:r>
    </w:p>
    <w:p w14:paraId="4CA4124D" w14:textId="77777777" w:rsidR="00D8707A" w:rsidRDefault="00D8707A" w:rsidP="003430D4">
      <w:pPr>
        <w:spacing w:after="0" w:line="276" w:lineRule="auto"/>
        <w:divId w:val="672995533"/>
        <w:rPr>
          <w:rFonts w:ascii="Arial" w:eastAsia="Times New Roman" w:hAnsi="Arial" w:cs="Arial"/>
          <w:b/>
          <w:bCs/>
          <w:sz w:val="20"/>
          <w:szCs w:val="20"/>
          <w:lang w:val="en"/>
        </w:rPr>
      </w:pPr>
      <w:bookmarkStart w:id="1" w:name="N12277"/>
    </w:p>
    <w:p w14:paraId="3394500E" w14:textId="769BA8B5" w:rsidR="00613A7D" w:rsidRDefault="00613A7D" w:rsidP="003430D4">
      <w:pPr>
        <w:spacing w:after="0" w:line="276" w:lineRule="auto"/>
        <w:divId w:val="672995533"/>
        <w:rPr>
          <w:rFonts w:ascii="Arial" w:eastAsia="Times New Roman" w:hAnsi="Arial" w:cs="Arial"/>
          <w:b/>
          <w:bCs/>
          <w:sz w:val="20"/>
          <w:szCs w:val="20"/>
          <w:lang w:val="en"/>
        </w:rPr>
      </w:pPr>
      <w:r>
        <w:rPr>
          <w:rFonts w:ascii="Arial" w:eastAsia="Times New Roman" w:hAnsi="Arial" w:cs="Arial"/>
          <w:b/>
          <w:bCs/>
          <w:sz w:val="20"/>
          <w:szCs w:val="20"/>
          <w:lang w:val="en"/>
        </w:rPr>
        <w:t>B. Final Integrated Diagnosis</w:t>
      </w:r>
      <w:bookmarkEnd w:id="1"/>
    </w:p>
    <w:p w14:paraId="5BD009BE" w14:textId="374F9215" w:rsidR="00613A7D" w:rsidRDefault="00613A7D" w:rsidP="003430D4">
      <w:pPr>
        <w:pStyle w:val="NormalWeb"/>
        <w:spacing w:before="0" w:beforeAutospacing="0" w:after="0" w:afterAutospacing="0" w:line="276" w:lineRule="auto"/>
        <w:divId w:val="420878868"/>
        <w:rPr>
          <w:lang w:val="en"/>
        </w:rPr>
      </w:pPr>
      <w:r>
        <w:rPr>
          <w:rFonts w:ascii="Arial" w:hAnsi="Arial" w:cs="Arial"/>
          <w:sz w:val="20"/>
          <w:szCs w:val="20"/>
          <w:lang w:val="en"/>
        </w:rPr>
        <w:t>The final integrated diagnosis for plasma cell neoplasms and immunoglobulin deposition disorders are derived from the WHO 5</w:t>
      </w:r>
      <w:r>
        <w:rPr>
          <w:rFonts w:ascii="Arial" w:hAnsi="Arial" w:cs="Arial"/>
          <w:sz w:val="20"/>
          <w:szCs w:val="20"/>
          <w:vertAlign w:val="superscript"/>
          <w:lang w:val="en"/>
        </w:rPr>
        <w:t>th</w:t>
      </w:r>
      <w:r>
        <w:rPr>
          <w:rFonts w:ascii="Arial" w:hAnsi="Arial" w:cs="Arial"/>
          <w:sz w:val="20"/>
          <w:szCs w:val="20"/>
          <w:lang w:val="en"/>
        </w:rPr>
        <w:t xml:space="preserve"> edition of </w:t>
      </w:r>
      <w:proofErr w:type="spellStart"/>
      <w:r>
        <w:rPr>
          <w:rFonts w:ascii="Arial" w:hAnsi="Arial" w:cs="Arial"/>
          <w:sz w:val="20"/>
          <w:szCs w:val="20"/>
          <w:lang w:val="en"/>
        </w:rPr>
        <w:t>Haematolymphoid</w:t>
      </w:r>
      <w:proofErr w:type="spellEnd"/>
      <w:r>
        <w:rPr>
          <w:rFonts w:ascii="Arial" w:hAnsi="Arial" w:cs="Arial"/>
          <w:sz w:val="20"/>
          <w:szCs w:val="20"/>
          <w:lang w:val="en"/>
        </w:rPr>
        <w:t xml:space="preserve"> tumors.</w:t>
      </w:r>
      <w:hyperlink w:anchor="R69260" w:tgtFrame="_top" w:tooltip="WHO Classification of Tumours Editorial Board. &amp;lt;em&amp;gt;Haematolymphoid tumours &amp;lt;/em&amp;gt;[Internet; beta version ahead of print]. Lyon (France): International Agency for Research on Cancer; 2022 [cited 2023 06 13]. (WHO classification of tumours series, 5th" w:history="1">
        <w:r>
          <w:rPr>
            <w:rStyle w:val="Hyperlink"/>
            <w:vertAlign w:val="superscript"/>
            <w:lang w:val="en"/>
          </w:rPr>
          <w:t>1</w:t>
        </w:r>
      </w:hyperlink>
      <w:r>
        <w:rPr>
          <w:rFonts w:ascii="Arial" w:hAnsi="Arial" w:cs="Arial"/>
          <w:sz w:val="20"/>
          <w:szCs w:val="20"/>
          <w:lang w:val="en"/>
        </w:rPr>
        <w:t> Many of the new entities incorporated into the WHO 5</w:t>
      </w:r>
      <w:r>
        <w:rPr>
          <w:rFonts w:ascii="Arial" w:hAnsi="Arial" w:cs="Arial"/>
          <w:sz w:val="20"/>
          <w:szCs w:val="20"/>
          <w:vertAlign w:val="superscript"/>
          <w:lang w:val="en"/>
        </w:rPr>
        <w:t>th</w:t>
      </w:r>
      <w:r>
        <w:rPr>
          <w:rFonts w:ascii="Arial" w:hAnsi="Arial" w:cs="Arial"/>
          <w:sz w:val="20"/>
          <w:szCs w:val="20"/>
          <w:lang w:val="en"/>
        </w:rPr>
        <w:t xml:space="preserve"> edition represent additions to the entities recognized in the category of monoclonal gammopathies, such as cold agglutin disease (CAD) or monoclonal gammopathy of renal significance (MGRS). In addition, paraneoplastic syndromes recognized to occur in association with plasma cell myeloma have been incorporated in WHO 5</w:t>
      </w:r>
      <w:r>
        <w:rPr>
          <w:rFonts w:ascii="Arial" w:hAnsi="Arial" w:cs="Arial"/>
          <w:sz w:val="20"/>
          <w:szCs w:val="20"/>
          <w:vertAlign w:val="superscript"/>
          <w:lang w:val="en"/>
        </w:rPr>
        <w:t>th</w:t>
      </w:r>
      <w:r>
        <w:rPr>
          <w:rFonts w:ascii="Arial" w:hAnsi="Arial" w:cs="Arial"/>
          <w:sz w:val="20"/>
          <w:szCs w:val="20"/>
          <w:lang w:val="en"/>
        </w:rPr>
        <w:t xml:space="preserve"> edition including TEMPI syndrome (telangiectasia, elevated erythropoietin and erythrocytosis, monoclonal gammopathy, perinephric fluid collection and intrapulmonary shunting) and AESOP syndrome (adenopathy and extensive skin patch overlying plasmacytoma). While these are important clinically, since they either represent clinical manifestations of premalignant or overt plasma cell myeloma, they are not included as specific diagnostic entities in the cancer case summary.</w:t>
      </w:r>
      <w:r>
        <w:rPr>
          <w:lang w:val="en"/>
        </w:rPr>
        <w:br/>
      </w:r>
      <w:r>
        <w:rPr>
          <w:lang w:val="en"/>
        </w:rPr>
        <w:br/>
      </w:r>
      <w:r>
        <w:rPr>
          <w:rFonts w:ascii="Arial" w:hAnsi="Arial" w:cs="Arial"/>
          <w:sz w:val="20"/>
          <w:szCs w:val="20"/>
          <w:lang w:val="en"/>
        </w:rPr>
        <w:t>Updates to the diagnostic criteria for plasma cell myeloma and staging using the Revised International Staging System for Multiple Myeloma proposed by the International Myeloma Working Group (IMWG) has been incorporated in the WHO 5</w:t>
      </w:r>
      <w:r>
        <w:rPr>
          <w:rFonts w:ascii="Arial" w:hAnsi="Arial" w:cs="Arial"/>
          <w:sz w:val="20"/>
          <w:szCs w:val="20"/>
          <w:vertAlign w:val="superscript"/>
          <w:lang w:val="en"/>
        </w:rPr>
        <w:t>th</w:t>
      </w:r>
      <w:r>
        <w:rPr>
          <w:rFonts w:ascii="Arial" w:hAnsi="Arial" w:cs="Arial"/>
          <w:sz w:val="20"/>
          <w:szCs w:val="20"/>
          <w:lang w:val="en"/>
        </w:rPr>
        <w:t xml:space="preserve"> edition.</w:t>
      </w:r>
      <w:r>
        <w:rPr>
          <w:lang w:val="en"/>
        </w:rPr>
        <w:br/>
      </w:r>
      <w:r>
        <w:rPr>
          <w:lang w:val="en"/>
        </w:rPr>
        <w:br/>
      </w:r>
      <w:r>
        <w:rPr>
          <w:rFonts w:ascii="Arial" w:hAnsi="Arial" w:cs="Arial"/>
          <w:sz w:val="20"/>
          <w:szCs w:val="20"/>
          <w:lang w:val="en"/>
        </w:rPr>
        <w:t>The full diagnostic criteria for the diagnostic categories in the WHO 5</w:t>
      </w:r>
      <w:r>
        <w:rPr>
          <w:rFonts w:ascii="Arial" w:hAnsi="Arial" w:cs="Arial"/>
          <w:sz w:val="20"/>
          <w:szCs w:val="20"/>
          <w:vertAlign w:val="superscript"/>
          <w:lang w:val="en"/>
        </w:rPr>
        <w:t>th</w:t>
      </w:r>
      <w:r>
        <w:rPr>
          <w:rFonts w:ascii="Arial" w:hAnsi="Arial" w:cs="Arial"/>
          <w:sz w:val="20"/>
          <w:szCs w:val="20"/>
          <w:lang w:val="en"/>
        </w:rPr>
        <w:t xml:space="preserve"> edition are well summarized in the WHO monograph and beyond the scope of the explanatory notes. Essential diagnostic information is included in the explanatory notes to serve as a quick reference. Specific categories that may benefit from additional explanation, particularly regarding use of the cancer case summary, are discussed.</w:t>
      </w:r>
      <w:r>
        <w:rPr>
          <w:lang w:val="en"/>
        </w:rPr>
        <w:br/>
      </w:r>
      <w:r>
        <w:rPr>
          <w:lang w:val="en"/>
        </w:rPr>
        <w:br/>
      </w:r>
      <w:r>
        <w:rPr>
          <w:rFonts w:ascii="Arial" w:hAnsi="Arial" w:cs="Arial"/>
          <w:b/>
          <w:bCs/>
          <w:sz w:val="20"/>
          <w:szCs w:val="20"/>
          <w:u w:val="single"/>
          <w:lang w:val="en"/>
        </w:rPr>
        <w:t xml:space="preserve">Plasma </w:t>
      </w:r>
      <w:r w:rsidR="00D8707A">
        <w:rPr>
          <w:rFonts w:ascii="Arial" w:hAnsi="Arial" w:cs="Arial"/>
          <w:b/>
          <w:bCs/>
          <w:sz w:val="20"/>
          <w:szCs w:val="20"/>
          <w:u w:val="single"/>
          <w:lang w:val="en"/>
        </w:rPr>
        <w:t>C</w:t>
      </w:r>
      <w:r>
        <w:rPr>
          <w:rFonts w:ascii="Arial" w:hAnsi="Arial" w:cs="Arial"/>
          <w:b/>
          <w:bCs/>
          <w:sz w:val="20"/>
          <w:szCs w:val="20"/>
          <w:u w:val="single"/>
          <w:lang w:val="en"/>
        </w:rPr>
        <w:t xml:space="preserve">ell </w:t>
      </w:r>
      <w:r w:rsidR="00D8707A">
        <w:rPr>
          <w:rFonts w:ascii="Arial" w:hAnsi="Arial" w:cs="Arial"/>
          <w:b/>
          <w:bCs/>
          <w:sz w:val="20"/>
          <w:szCs w:val="20"/>
          <w:u w:val="single"/>
          <w:lang w:val="en"/>
        </w:rPr>
        <w:t>N</w:t>
      </w:r>
      <w:r>
        <w:rPr>
          <w:rFonts w:ascii="Arial" w:hAnsi="Arial" w:cs="Arial"/>
          <w:b/>
          <w:bCs/>
          <w:sz w:val="20"/>
          <w:szCs w:val="20"/>
          <w:u w:val="single"/>
          <w:lang w:val="en"/>
        </w:rPr>
        <w:t>eoplasms</w:t>
      </w:r>
      <w:r>
        <w:rPr>
          <w:lang w:val="en"/>
        </w:rPr>
        <w:br/>
      </w:r>
      <w:r>
        <w:rPr>
          <w:lang w:val="en"/>
        </w:rPr>
        <w:br/>
      </w:r>
      <w:r>
        <w:rPr>
          <w:rFonts w:ascii="Arial" w:hAnsi="Arial" w:cs="Arial"/>
          <w:b/>
          <w:bCs/>
          <w:sz w:val="20"/>
          <w:szCs w:val="20"/>
          <w:lang w:val="en"/>
        </w:rPr>
        <w:t>Solitary plasmacytoma of bone (SPB)/extramedullary plasmacytoma (EMP)</w:t>
      </w:r>
      <w:r>
        <w:rPr>
          <w:lang w:val="en"/>
        </w:rPr>
        <w:br/>
      </w:r>
      <w:r>
        <w:rPr>
          <w:lang w:val="en"/>
        </w:rPr>
        <w:br/>
      </w:r>
      <w:r>
        <w:rPr>
          <w:rFonts w:ascii="Arial" w:hAnsi="Arial" w:cs="Arial"/>
          <w:sz w:val="20"/>
          <w:szCs w:val="20"/>
          <w:lang w:val="en"/>
        </w:rPr>
        <w:t>Plasmacytoma is a solitary, clonal neoplasm of plasma cells without clinical or pathologic evidence of plasma cell myeloma/multiple myeloma or evidence of end-organ damage attributable to plasma cell neoplasia. There are two subtypes of plasmacytoma that are listed in the diagnostic choices in the cancer case summary: solitary plasmacytoma or bone (SPB) and extramedullary plasmacytoma (EMP). Biopsies for solitary plasmacytoma of bone are typically targeted at a lytic lesion involving the axial/hematopoietic skeleton, frequently spine, pelvis, ribs, or skull. </w:t>
      </w:r>
      <w:r>
        <w:rPr>
          <w:lang w:val="en"/>
        </w:rPr>
        <w:br/>
      </w:r>
      <w:r>
        <w:rPr>
          <w:lang w:val="en"/>
        </w:rPr>
        <w:br/>
      </w:r>
      <w:r>
        <w:rPr>
          <w:rFonts w:ascii="Arial" w:hAnsi="Arial" w:cs="Arial"/>
          <w:sz w:val="20"/>
          <w:szCs w:val="20"/>
          <w:lang w:val="en"/>
        </w:rPr>
        <w:t xml:space="preserve">Extramedullary plasmacytoma (EMP) frequently involves the upper respiratory tract with much less frequent involvement of lymph nodes, </w:t>
      </w:r>
      <w:proofErr w:type="gramStart"/>
      <w:r>
        <w:rPr>
          <w:rFonts w:ascii="Arial" w:hAnsi="Arial" w:cs="Arial"/>
          <w:sz w:val="20"/>
          <w:szCs w:val="20"/>
          <w:lang w:val="en"/>
        </w:rPr>
        <w:t>lung</w:t>
      </w:r>
      <w:proofErr w:type="gramEnd"/>
      <w:r>
        <w:rPr>
          <w:rFonts w:ascii="Arial" w:hAnsi="Arial" w:cs="Arial"/>
          <w:sz w:val="20"/>
          <w:szCs w:val="20"/>
          <w:lang w:val="en"/>
        </w:rPr>
        <w:t xml:space="preserve">, or other sites. An important consideration for extramedullary </w:t>
      </w:r>
      <w:r>
        <w:rPr>
          <w:rFonts w:ascii="Arial" w:hAnsi="Arial" w:cs="Arial"/>
          <w:sz w:val="20"/>
          <w:szCs w:val="20"/>
          <w:lang w:val="en"/>
        </w:rPr>
        <w:lastRenderedPageBreak/>
        <w:t>plasmacytoma (EMP) is to exclude the presence of a B-cell lymphoma that displays marked plasma cell differentiation, typically nodal or extranodal marginal zone lymphomas. These can be distinguished by mature B-cell immunophenotype (CD19+, CD20 more than moderate intensity), IgM expression, and absence of typical immunophenotype for plasma cell neoplasms.</w:t>
      </w:r>
      <w:hyperlink w:anchor="R69261" w:tgtFrame="_top" w:tooltip="Kremer M, Ott G, Nathrath M, Specht K, Stecker K, Alexiou C, Quintanilla-Martinez L, Fend F. Primary extramedullary plasmacytoma and multiple myeloma: phenotypic differences revealed by immunohistochemical analysis. &amp;lt;em&amp;gt;J Pathol.&amp;lt;/em&amp;gt; 2005 Jan;205(" w:history="1">
        <w:r>
          <w:rPr>
            <w:rStyle w:val="Hyperlink"/>
            <w:vertAlign w:val="superscript"/>
            <w:lang w:val="en"/>
          </w:rPr>
          <w:t>2</w:t>
        </w:r>
      </w:hyperlink>
      <w:r>
        <w:rPr>
          <w:rFonts w:ascii="Arial" w:hAnsi="Arial" w:cs="Arial"/>
          <w:sz w:val="20"/>
          <w:szCs w:val="20"/>
          <w:lang w:val="en"/>
        </w:rPr>
        <w:t xml:space="preserve"> In addition, flow cytometry can demonstrate monotypic light chain expression on B-cells. In cases displaying </w:t>
      </w:r>
      <w:proofErr w:type="spellStart"/>
      <w:r>
        <w:rPr>
          <w:rFonts w:ascii="Arial" w:hAnsi="Arial" w:cs="Arial"/>
          <w:sz w:val="20"/>
          <w:szCs w:val="20"/>
          <w:lang w:val="en"/>
        </w:rPr>
        <w:t>plasmablastic</w:t>
      </w:r>
      <w:proofErr w:type="spellEnd"/>
      <w:r>
        <w:rPr>
          <w:rFonts w:ascii="Arial" w:hAnsi="Arial" w:cs="Arial"/>
          <w:sz w:val="20"/>
          <w:szCs w:val="20"/>
          <w:lang w:val="en"/>
        </w:rPr>
        <w:t xml:space="preserve"> morphology characterized by enlarged, atypical plasmacytoid cells with high proliferative fraction as determined by Ki-67 immunohistochemistry, it is important to exclude </w:t>
      </w:r>
      <w:proofErr w:type="spellStart"/>
      <w:r>
        <w:rPr>
          <w:rFonts w:ascii="Arial" w:hAnsi="Arial" w:cs="Arial"/>
          <w:sz w:val="20"/>
          <w:szCs w:val="20"/>
          <w:lang w:val="en"/>
        </w:rPr>
        <w:t>plasmablastic</w:t>
      </w:r>
      <w:proofErr w:type="spellEnd"/>
      <w:r>
        <w:rPr>
          <w:rFonts w:ascii="Arial" w:hAnsi="Arial" w:cs="Arial"/>
          <w:sz w:val="20"/>
          <w:szCs w:val="20"/>
          <w:lang w:val="en"/>
        </w:rPr>
        <w:t xml:space="preserve"> lymphoma. These typically occur in immunosuppressed or elderly with frequent demonstration of Epstein Barr virus (EBV), (EBV early RNA by in-situ hybridization, EBER), and MYC rearrangements.</w:t>
      </w:r>
      <w:r>
        <w:rPr>
          <w:lang w:val="en"/>
        </w:rPr>
        <w:br/>
      </w:r>
      <w:r>
        <w:rPr>
          <w:lang w:val="en"/>
        </w:rPr>
        <w:br/>
      </w:r>
      <w:r>
        <w:rPr>
          <w:rFonts w:ascii="Arial" w:hAnsi="Arial" w:cs="Arial"/>
          <w:sz w:val="20"/>
          <w:szCs w:val="20"/>
          <w:lang w:val="en"/>
        </w:rPr>
        <w:t>Following biopsy, these patients should undergo a thorough evaluation to exclude PCM/MM. For use of the cancer case summary, it is still acceptable to diagnose SBP or EMP with a notation in the narrative report or comment that this diagnosis requires exclusion of PCM/MM.</w:t>
      </w:r>
      <w:r>
        <w:rPr>
          <w:lang w:val="en"/>
        </w:rPr>
        <w:br/>
      </w:r>
      <w:r>
        <w:rPr>
          <w:lang w:val="en"/>
        </w:rPr>
        <w:br/>
      </w:r>
      <w:r>
        <w:rPr>
          <w:rFonts w:ascii="Arial" w:hAnsi="Arial" w:cs="Arial"/>
          <w:b/>
          <w:bCs/>
          <w:sz w:val="20"/>
          <w:szCs w:val="20"/>
          <w:lang w:val="en"/>
        </w:rPr>
        <w:t xml:space="preserve">Plasma </w:t>
      </w:r>
      <w:r w:rsidR="00D8707A">
        <w:rPr>
          <w:rFonts w:ascii="Arial" w:hAnsi="Arial" w:cs="Arial"/>
          <w:b/>
          <w:bCs/>
          <w:sz w:val="20"/>
          <w:szCs w:val="20"/>
          <w:lang w:val="en"/>
        </w:rPr>
        <w:t>C</w:t>
      </w:r>
      <w:r>
        <w:rPr>
          <w:rFonts w:ascii="Arial" w:hAnsi="Arial" w:cs="Arial"/>
          <w:b/>
          <w:bCs/>
          <w:sz w:val="20"/>
          <w:szCs w:val="20"/>
          <w:lang w:val="en"/>
        </w:rPr>
        <w:t xml:space="preserve">ell </w:t>
      </w:r>
      <w:r w:rsidR="00D8707A">
        <w:rPr>
          <w:rFonts w:ascii="Arial" w:hAnsi="Arial" w:cs="Arial"/>
          <w:b/>
          <w:bCs/>
          <w:sz w:val="20"/>
          <w:szCs w:val="20"/>
          <w:lang w:val="en"/>
        </w:rPr>
        <w:t>N</w:t>
      </w:r>
      <w:r>
        <w:rPr>
          <w:rFonts w:ascii="Arial" w:hAnsi="Arial" w:cs="Arial"/>
          <w:b/>
          <w:bCs/>
          <w:sz w:val="20"/>
          <w:szCs w:val="20"/>
          <w:lang w:val="en"/>
        </w:rPr>
        <w:t xml:space="preserve">eoplasm </w:t>
      </w:r>
      <w:r w:rsidR="00D8707A">
        <w:rPr>
          <w:rFonts w:ascii="Arial" w:hAnsi="Arial" w:cs="Arial"/>
          <w:b/>
          <w:bCs/>
          <w:sz w:val="20"/>
          <w:szCs w:val="20"/>
          <w:lang w:val="en"/>
        </w:rPr>
        <w:t>I</w:t>
      </w:r>
      <w:r>
        <w:rPr>
          <w:rFonts w:ascii="Arial" w:hAnsi="Arial" w:cs="Arial"/>
          <w:b/>
          <w:bCs/>
          <w:sz w:val="20"/>
          <w:szCs w:val="20"/>
          <w:lang w:val="en"/>
        </w:rPr>
        <w:t xml:space="preserve">nvolving </w:t>
      </w:r>
      <w:r w:rsidR="00D8707A">
        <w:rPr>
          <w:rFonts w:ascii="Arial" w:hAnsi="Arial" w:cs="Arial"/>
          <w:b/>
          <w:bCs/>
          <w:sz w:val="20"/>
          <w:szCs w:val="20"/>
          <w:lang w:val="en"/>
        </w:rPr>
        <w:t>B</w:t>
      </w:r>
      <w:r>
        <w:rPr>
          <w:rFonts w:ascii="Arial" w:hAnsi="Arial" w:cs="Arial"/>
          <w:b/>
          <w:bCs/>
          <w:sz w:val="20"/>
          <w:szCs w:val="20"/>
          <w:lang w:val="en"/>
        </w:rPr>
        <w:t xml:space="preserve">one </w:t>
      </w:r>
      <w:r w:rsidR="00D8707A">
        <w:rPr>
          <w:rFonts w:ascii="Arial" w:hAnsi="Arial" w:cs="Arial"/>
          <w:b/>
          <w:bCs/>
          <w:sz w:val="20"/>
          <w:szCs w:val="20"/>
          <w:lang w:val="en"/>
        </w:rPr>
        <w:t>M</w:t>
      </w:r>
      <w:r>
        <w:rPr>
          <w:rFonts w:ascii="Arial" w:hAnsi="Arial" w:cs="Arial"/>
          <w:b/>
          <w:bCs/>
          <w:sz w:val="20"/>
          <w:szCs w:val="20"/>
          <w:lang w:val="en"/>
        </w:rPr>
        <w:t>arrow</w:t>
      </w:r>
      <w:r>
        <w:rPr>
          <w:lang w:val="en"/>
        </w:rPr>
        <w:br/>
      </w:r>
      <w:r>
        <w:rPr>
          <w:lang w:val="en"/>
        </w:rPr>
        <w:br/>
      </w:r>
      <w:r>
        <w:rPr>
          <w:rFonts w:ascii="Arial" w:hAnsi="Arial" w:cs="Arial"/>
          <w:sz w:val="20"/>
          <w:szCs w:val="20"/>
          <w:lang w:val="en"/>
        </w:rPr>
        <w:t>Plasma cell myeloma/multiple myeloma (PCM/MM) is a bone marrow-based, multifocal neoplastic proliferation of plasma cells very frequently associated with production of a monoclonal immunoglobulin in serum and/or urine with associated evidence of end-organ damage. The diagnosis of PCM/MM relies on the integration of pathologic findings and clinical findings. The diagnostic criteria for PCM/MM are summarized in Table 1. Briefly, PCM/MM is defined by ≥ 10% clonal plasma cells on a non-targeted bone marrow sampling or biopsy proven plasmacytoma on targeted biopsy and one or more myeloma defining events, either end-organ damage (CRAB criteria outlined below) or myeloma defining biomarkers.</w:t>
      </w:r>
      <w:r>
        <w:rPr>
          <w:lang w:val="en"/>
        </w:rPr>
        <w:br/>
      </w:r>
      <w:r>
        <w:rPr>
          <w:lang w:val="en"/>
        </w:rPr>
        <w:br/>
      </w:r>
      <w:r>
        <w:rPr>
          <w:rFonts w:ascii="Arial" w:hAnsi="Arial" w:cs="Arial"/>
          <w:sz w:val="20"/>
          <w:szCs w:val="20"/>
          <w:lang w:val="en"/>
        </w:rPr>
        <w:t>Since the diagnosis is based on the integration of clinical findings, such as radiographic studies or laboratory values that may not be available to the pathologist; the cancer case summary includes a diagnostic category of “Plasma cell neoplasm involving bone marrow (clinical information required)”. The percentage of clonal plasma cells is to be specified in the morphologic findings.</w:t>
      </w:r>
      <w:r>
        <w:rPr>
          <w:lang w:val="en"/>
        </w:rPr>
        <w:br/>
      </w:r>
      <w:r>
        <w:rPr>
          <w:lang w:val="en"/>
        </w:rPr>
        <w:br/>
      </w:r>
      <w:r>
        <w:rPr>
          <w:rFonts w:ascii="Arial" w:hAnsi="Arial" w:cs="Arial"/>
          <w:sz w:val="20"/>
          <w:szCs w:val="20"/>
          <w:lang w:val="en"/>
        </w:rPr>
        <w:t>If clinical criteria are available or provided, PCM/MM may be selected in the cancer case summary. The subtype of smoldering (asymptomatic) myeloma is an optional selection if it is known there is no evidence of end-organ damage, amyloidosis or myeloma defining biomarkers, and sufficient serum or urine monoclonal protein (IgG or IgA ≥ 3% gm/dL in serum, ≥ 500 mg per 24h in urine). </w:t>
      </w:r>
      <w:r>
        <w:rPr>
          <w:lang w:val="en"/>
        </w:rPr>
        <w:br/>
      </w:r>
      <w:r>
        <w:rPr>
          <w:lang w:val="en"/>
        </w:rPr>
        <w:br/>
      </w:r>
      <w:r>
        <w:rPr>
          <w:rFonts w:ascii="Arial" w:hAnsi="Arial" w:cs="Arial"/>
          <w:sz w:val="20"/>
          <w:szCs w:val="20"/>
          <w:lang w:val="en"/>
        </w:rPr>
        <w:t>The WHO 5</w:t>
      </w:r>
      <w:r>
        <w:rPr>
          <w:rFonts w:ascii="Arial" w:hAnsi="Arial" w:cs="Arial"/>
          <w:sz w:val="20"/>
          <w:szCs w:val="20"/>
          <w:vertAlign w:val="superscript"/>
          <w:lang w:val="en"/>
        </w:rPr>
        <w:t>th</w:t>
      </w:r>
      <w:r>
        <w:rPr>
          <w:rFonts w:ascii="Arial" w:hAnsi="Arial" w:cs="Arial"/>
          <w:sz w:val="20"/>
          <w:szCs w:val="20"/>
          <w:lang w:val="en"/>
        </w:rPr>
        <w:t xml:space="preserve"> edition lowered the threshold to diagnose plasma cell leukemia (PCL) to require only ≥ 5% circulating plasma cells in blood in patients otherwise diagnosed with PCL/MM. If blood smears meeting criteria are available for review as part of a bone marrow specimen. It is recommended to perform a minimum 100-200 nucleated cell count on blood for newly diagnosed PCM/MM patients.</w:t>
      </w:r>
      <w:hyperlink w:anchor="R69262" w:tgtFrame="_top" w:tooltip="Fern&amp;#225;ndez de Larrea, C., Kyle, R., Rosi&amp;#241;ol, L. et al. Primary plasma cell leukemia: consensus definition by the International Myeloma Working Group according to peripheral blood plasma cell percentage. &amp;lt;em&amp;gt;Blood Cancer J&amp;lt;/em&amp;gt;. 11,192 (202" w:history="1">
        <w:r>
          <w:rPr>
            <w:rStyle w:val="Hyperlink"/>
            <w:vertAlign w:val="superscript"/>
            <w:lang w:val="en"/>
          </w:rPr>
          <w:t>3</w:t>
        </w:r>
      </w:hyperlink>
    </w:p>
    <w:p w14:paraId="5712A400" w14:textId="77777777" w:rsidR="00613A7D" w:rsidRDefault="00613A7D" w:rsidP="003430D4">
      <w:pPr>
        <w:pStyle w:val="NormalWeb"/>
        <w:spacing w:before="0" w:beforeAutospacing="0" w:after="0" w:afterAutospacing="0" w:line="276" w:lineRule="auto"/>
        <w:divId w:val="420878868"/>
        <w:rPr>
          <w:lang w:val="en"/>
        </w:rPr>
      </w:pPr>
      <w:r>
        <w:rPr>
          <w:rFonts w:ascii="Arial" w:hAnsi="Arial" w:cs="Arial"/>
          <w:sz w:val="20"/>
          <w:szCs w:val="20"/>
          <w:lang w:val="en"/>
        </w:rPr>
        <w:t>The diagnostic category “Plasma cell neoplasm, other specify” can be used for those who wish to use this cancer case summary to render a preliminary diagnosis prior to receipt of all the pending ancillary studies. Ideally, when this approach is used a final integrated report would be issued that includes all the pertinent information. Additionally, this category may be used to report an alternate classification scheme, such as the International Consensus Classification, if local hematologists/oncologists utilize that system.</w:t>
      </w:r>
    </w:p>
    <w:p w14:paraId="012A7603" w14:textId="77777777" w:rsidR="00613A7D" w:rsidRDefault="00613A7D" w:rsidP="003430D4">
      <w:pPr>
        <w:pStyle w:val="NormalWeb"/>
        <w:spacing w:before="0" w:beforeAutospacing="0" w:after="0" w:afterAutospacing="0" w:line="276" w:lineRule="auto"/>
        <w:divId w:val="420878868"/>
        <w:rPr>
          <w:lang w:val="en"/>
        </w:rPr>
      </w:pPr>
      <w:r>
        <w:rPr>
          <w:lang w:val="en"/>
        </w:rPr>
        <w:t> </w:t>
      </w:r>
    </w:p>
    <w:p w14:paraId="54FDF4AE" w14:textId="77777777" w:rsidR="00613A7D" w:rsidRDefault="00613A7D" w:rsidP="003430D4">
      <w:pPr>
        <w:pStyle w:val="NormalWeb"/>
        <w:spacing w:before="0" w:beforeAutospacing="0" w:after="0" w:afterAutospacing="0" w:line="276" w:lineRule="auto"/>
        <w:divId w:val="420878868"/>
        <w:rPr>
          <w:lang w:val="en"/>
        </w:rPr>
      </w:pPr>
      <w:r>
        <w:rPr>
          <w:rFonts w:ascii="Arial" w:hAnsi="Arial" w:cs="Arial"/>
          <w:b/>
          <w:bCs/>
          <w:sz w:val="20"/>
          <w:szCs w:val="20"/>
          <w:lang w:val="en"/>
        </w:rPr>
        <w:lastRenderedPageBreak/>
        <w:t>Table 1: SUMMARY OF DIAGNOSTIC CRITERIA FOR PLASMA CELL NEOPLASM</w:t>
      </w:r>
      <w:hyperlink w:anchor="R69260" w:tgtFrame="_top" w:tooltip="WHO Classification of Tumours Editorial Board. &amp;lt;em&amp;gt;Haematolymphoid tumours &amp;lt;/em&amp;gt;[Internet; beta version ahead of print]. Lyon (France): International Agency for Research on Cancer; 2022 [cited 2023 06 13]. (WHO classification of tumours series, 5th" w:history="1">
        <w:r>
          <w:rPr>
            <w:rStyle w:val="Hyperlink"/>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2063"/>
        <w:gridCol w:w="7513"/>
      </w:tblGrid>
      <w:tr w:rsidR="003E28EC" w14:paraId="48BCFBA9" w14:textId="77777777" w:rsidTr="003430D4">
        <w:trPr>
          <w:divId w:val="420878868"/>
          <w:trHeight w:val="322"/>
        </w:trPr>
        <w:tc>
          <w:tcPr>
            <w:tcW w:w="1077"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2DA09BC4" w14:textId="77777777" w:rsidR="00613A7D" w:rsidRDefault="00613A7D" w:rsidP="003430D4">
            <w:pPr>
              <w:pStyle w:val="NormalWeb"/>
              <w:spacing w:before="0" w:beforeAutospacing="0" w:after="0" w:afterAutospacing="0" w:line="276" w:lineRule="auto"/>
            </w:pPr>
            <w:r>
              <w:rPr>
                <w:rFonts w:ascii="Arial" w:hAnsi="Arial" w:cs="Arial"/>
                <w:b/>
                <w:bCs/>
                <w:color w:val="000000"/>
                <w:sz w:val="20"/>
                <w:szCs w:val="20"/>
              </w:rPr>
              <w:t>Subtype</w:t>
            </w:r>
          </w:p>
        </w:tc>
        <w:tc>
          <w:tcPr>
            <w:tcW w:w="3923"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05848A5E" w14:textId="77777777" w:rsidR="00613A7D" w:rsidRDefault="00613A7D" w:rsidP="003430D4">
            <w:pPr>
              <w:pStyle w:val="NormalWeb"/>
              <w:spacing w:before="0" w:beforeAutospacing="0" w:after="0" w:afterAutospacing="0" w:line="276" w:lineRule="auto"/>
            </w:pPr>
            <w:r>
              <w:rPr>
                <w:rFonts w:ascii="Arial" w:hAnsi="Arial" w:cs="Arial"/>
                <w:b/>
                <w:bCs/>
                <w:color w:val="000000"/>
                <w:sz w:val="20"/>
                <w:szCs w:val="20"/>
              </w:rPr>
              <w:t>Essential diagnostic criteria</w:t>
            </w:r>
          </w:p>
        </w:tc>
      </w:tr>
      <w:tr w:rsidR="003E28EC" w14:paraId="3BF20CC9" w14:textId="77777777" w:rsidTr="003430D4">
        <w:trPr>
          <w:divId w:val="420878868"/>
        </w:trPr>
        <w:tc>
          <w:tcPr>
            <w:tcW w:w="10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0F4F20" w14:textId="77777777" w:rsidR="00613A7D" w:rsidRDefault="00613A7D" w:rsidP="003430D4">
            <w:pPr>
              <w:pStyle w:val="NormalWeb"/>
              <w:spacing w:before="0" w:beforeAutospacing="0" w:after="0" w:afterAutospacing="0" w:line="276" w:lineRule="auto"/>
            </w:pPr>
            <w:r>
              <w:rPr>
                <w:rFonts w:ascii="Arial" w:hAnsi="Arial" w:cs="Arial"/>
                <w:color w:val="000000"/>
                <w:sz w:val="20"/>
                <w:szCs w:val="20"/>
              </w:rPr>
              <w:t>Plasmacytoma</w:t>
            </w:r>
          </w:p>
        </w:tc>
        <w:tc>
          <w:tcPr>
            <w:tcW w:w="392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5B321B" w14:textId="77777777" w:rsidR="00613A7D" w:rsidRDefault="00613A7D" w:rsidP="003430D4">
            <w:pPr>
              <w:pStyle w:val="NormalWeb"/>
              <w:numPr>
                <w:ilvl w:val="0"/>
                <w:numId w:val="2"/>
              </w:numPr>
              <w:spacing w:before="0" w:beforeAutospacing="0" w:after="0" w:afterAutospacing="0" w:line="276" w:lineRule="auto"/>
            </w:pPr>
            <w:r>
              <w:rPr>
                <w:rFonts w:ascii="Arial" w:hAnsi="Arial" w:cs="Arial"/>
                <w:sz w:val="20"/>
                <w:szCs w:val="20"/>
              </w:rPr>
              <w:t>Biopsy-proven clonal plasma cell neoplasm of bone or extramedullary site</w:t>
            </w:r>
          </w:p>
          <w:p w14:paraId="509DE11E" w14:textId="77777777" w:rsidR="00613A7D" w:rsidRDefault="00613A7D" w:rsidP="003430D4">
            <w:pPr>
              <w:pStyle w:val="NormalWeb"/>
              <w:numPr>
                <w:ilvl w:val="0"/>
                <w:numId w:val="2"/>
              </w:numPr>
              <w:spacing w:before="0" w:beforeAutospacing="0" w:after="0" w:afterAutospacing="0" w:line="276" w:lineRule="auto"/>
            </w:pPr>
            <w:r>
              <w:rPr>
                <w:rFonts w:ascii="Arial" w:hAnsi="Arial" w:cs="Arial"/>
                <w:sz w:val="20"/>
                <w:szCs w:val="20"/>
              </w:rPr>
              <w:t>No clonal B cells</w:t>
            </w:r>
          </w:p>
          <w:p w14:paraId="53D21549" w14:textId="77777777" w:rsidR="00613A7D" w:rsidRDefault="00613A7D" w:rsidP="003430D4">
            <w:pPr>
              <w:pStyle w:val="NormalWeb"/>
              <w:numPr>
                <w:ilvl w:val="0"/>
                <w:numId w:val="2"/>
              </w:numPr>
              <w:spacing w:before="0" w:beforeAutospacing="0" w:after="0" w:afterAutospacing="0" w:line="276" w:lineRule="auto"/>
            </w:pPr>
            <w:r>
              <w:rPr>
                <w:rFonts w:ascii="Arial" w:hAnsi="Arial" w:cs="Arial"/>
                <w:sz w:val="20"/>
                <w:szCs w:val="20"/>
              </w:rPr>
              <w:t xml:space="preserve">No other </w:t>
            </w:r>
            <w:proofErr w:type="gramStart"/>
            <w:r>
              <w:rPr>
                <w:rFonts w:ascii="Arial" w:hAnsi="Arial" w:cs="Arial"/>
                <w:sz w:val="20"/>
                <w:szCs w:val="20"/>
              </w:rPr>
              <w:t>lesions</w:t>
            </w:r>
            <w:proofErr w:type="gramEnd"/>
            <w:r>
              <w:rPr>
                <w:rFonts w:ascii="Arial" w:hAnsi="Arial" w:cs="Arial"/>
                <w:sz w:val="20"/>
                <w:szCs w:val="20"/>
              </w:rPr>
              <w:t xml:space="preserve"> on physical examination or radiographic studies</w:t>
            </w:r>
          </w:p>
          <w:p w14:paraId="3D87861C" w14:textId="77777777" w:rsidR="00613A7D" w:rsidRDefault="00613A7D" w:rsidP="003430D4">
            <w:pPr>
              <w:pStyle w:val="NormalWeb"/>
              <w:numPr>
                <w:ilvl w:val="0"/>
                <w:numId w:val="2"/>
              </w:numPr>
              <w:spacing w:before="0" w:beforeAutospacing="0" w:after="0" w:afterAutospacing="0" w:line="276" w:lineRule="auto"/>
            </w:pPr>
            <w:r>
              <w:rPr>
                <w:rFonts w:ascii="Arial" w:hAnsi="Arial" w:cs="Arial"/>
                <w:sz w:val="20"/>
                <w:szCs w:val="20"/>
              </w:rPr>
              <w:t>No end-organ damage (</w:t>
            </w:r>
            <w:proofErr w:type="spellStart"/>
            <w:r>
              <w:rPr>
                <w:rFonts w:ascii="Arial" w:hAnsi="Arial" w:cs="Arial"/>
                <w:sz w:val="20"/>
                <w:szCs w:val="20"/>
              </w:rPr>
              <w:t>hyper</w:t>
            </w:r>
            <w:r>
              <w:rPr>
                <w:rFonts w:ascii="Arial" w:hAnsi="Arial" w:cs="Arial"/>
                <w:b/>
                <w:bCs/>
                <w:sz w:val="20"/>
                <w:szCs w:val="20"/>
                <w:u w:val="single"/>
              </w:rPr>
              <w:t>C</w:t>
            </w:r>
            <w:r>
              <w:rPr>
                <w:rFonts w:ascii="Arial" w:hAnsi="Arial" w:cs="Arial"/>
                <w:sz w:val="20"/>
                <w:szCs w:val="20"/>
              </w:rPr>
              <w:t>alcemia</w:t>
            </w:r>
            <w:proofErr w:type="spellEnd"/>
            <w:r>
              <w:rPr>
                <w:rFonts w:ascii="Arial" w:hAnsi="Arial" w:cs="Arial"/>
                <w:sz w:val="20"/>
                <w:szCs w:val="20"/>
              </w:rPr>
              <w:t xml:space="preserve">, </w:t>
            </w:r>
            <w:r>
              <w:rPr>
                <w:rFonts w:ascii="Arial" w:hAnsi="Arial" w:cs="Arial"/>
                <w:b/>
                <w:bCs/>
                <w:sz w:val="20"/>
                <w:szCs w:val="20"/>
                <w:u w:val="single"/>
              </w:rPr>
              <w:t>R</w:t>
            </w:r>
            <w:r>
              <w:rPr>
                <w:rFonts w:ascii="Arial" w:hAnsi="Arial" w:cs="Arial"/>
                <w:sz w:val="20"/>
                <w:szCs w:val="20"/>
              </w:rPr>
              <w:t xml:space="preserve">enal insufficiency, </w:t>
            </w:r>
            <w:r>
              <w:rPr>
                <w:rFonts w:ascii="Arial" w:hAnsi="Arial" w:cs="Arial"/>
                <w:b/>
                <w:bCs/>
                <w:sz w:val="20"/>
                <w:szCs w:val="20"/>
                <w:u w:val="single"/>
              </w:rPr>
              <w:t>A</w:t>
            </w:r>
            <w:r>
              <w:rPr>
                <w:rFonts w:ascii="Arial" w:hAnsi="Arial" w:cs="Arial"/>
                <w:sz w:val="20"/>
                <w:szCs w:val="20"/>
              </w:rPr>
              <w:t xml:space="preserve">nemia or </w:t>
            </w:r>
            <w:r>
              <w:rPr>
                <w:rFonts w:ascii="Arial" w:hAnsi="Arial" w:cs="Arial"/>
                <w:b/>
                <w:bCs/>
                <w:sz w:val="20"/>
                <w:szCs w:val="20"/>
                <w:u w:val="single"/>
              </w:rPr>
              <w:t>B</w:t>
            </w:r>
            <w:r>
              <w:rPr>
                <w:rFonts w:ascii="Arial" w:hAnsi="Arial" w:cs="Arial"/>
                <w:sz w:val="20"/>
                <w:szCs w:val="20"/>
              </w:rPr>
              <w:t>one lesions [CRAB]) due to plasma cell neoplasm</w:t>
            </w:r>
          </w:p>
          <w:p w14:paraId="1330ABED" w14:textId="77777777" w:rsidR="00613A7D" w:rsidRDefault="00613A7D" w:rsidP="003430D4">
            <w:pPr>
              <w:pStyle w:val="NormalWeb"/>
              <w:numPr>
                <w:ilvl w:val="0"/>
                <w:numId w:val="2"/>
              </w:numPr>
              <w:spacing w:before="0" w:beforeAutospacing="0" w:after="0" w:afterAutospacing="0" w:line="276" w:lineRule="auto"/>
            </w:pPr>
            <w:r>
              <w:rPr>
                <w:rFonts w:ascii="Arial" w:hAnsi="Arial" w:cs="Arial"/>
                <w:sz w:val="20"/>
                <w:szCs w:val="20"/>
              </w:rPr>
              <w:t>&lt;10% clonal plasma cells on non-targeted bone marrow sampling. Plasmacytomas with no marrow involvement must be distinguished from those with minimal (&lt;10%) marrow involvement.</w:t>
            </w:r>
          </w:p>
          <w:p w14:paraId="4D406F13" w14:textId="77777777" w:rsidR="00613A7D" w:rsidRDefault="00613A7D" w:rsidP="003430D4">
            <w:pPr>
              <w:pStyle w:val="NormalWeb"/>
              <w:spacing w:before="0" w:beforeAutospacing="0" w:after="0" w:afterAutospacing="0" w:line="276" w:lineRule="auto"/>
            </w:pPr>
            <w:r>
              <w:rPr>
                <w:rFonts w:ascii="Arial" w:hAnsi="Arial" w:cs="Arial"/>
                <w:sz w:val="20"/>
                <w:szCs w:val="20"/>
              </w:rPr>
              <w:t> </w:t>
            </w:r>
          </w:p>
        </w:tc>
      </w:tr>
      <w:tr w:rsidR="003E28EC" w14:paraId="53535F2F" w14:textId="77777777" w:rsidTr="003430D4">
        <w:trPr>
          <w:divId w:val="420878868"/>
        </w:trPr>
        <w:tc>
          <w:tcPr>
            <w:tcW w:w="10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E14F8A" w14:textId="77777777" w:rsidR="00613A7D" w:rsidRDefault="00613A7D" w:rsidP="003430D4">
            <w:pPr>
              <w:pStyle w:val="NormalWeb"/>
              <w:spacing w:before="0" w:beforeAutospacing="0" w:after="0" w:afterAutospacing="0" w:line="276" w:lineRule="auto"/>
            </w:pPr>
            <w:r>
              <w:rPr>
                <w:rFonts w:ascii="Arial" w:hAnsi="Arial" w:cs="Arial"/>
                <w:color w:val="000000"/>
                <w:sz w:val="20"/>
                <w:szCs w:val="20"/>
              </w:rPr>
              <w:t>Smoldering multiple myeloma</w:t>
            </w:r>
          </w:p>
        </w:tc>
        <w:tc>
          <w:tcPr>
            <w:tcW w:w="392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B536C7" w14:textId="77777777" w:rsidR="00613A7D" w:rsidRDefault="00613A7D" w:rsidP="003430D4">
            <w:pPr>
              <w:pStyle w:val="NormalWeb"/>
              <w:spacing w:before="0" w:beforeAutospacing="0" w:after="0" w:afterAutospacing="0" w:line="276" w:lineRule="auto"/>
              <w:ind w:left="450" w:hanging="360"/>
            </w:pPr>
            <w:r>
              <w:rPr>
                <w:rFonts w:ascii="Arial" w:hAnsi="Arial" w:cs="Arial"/>
                <w:b/>
                <w:bCs/>
                <w:sz w:val="20"/>
                <w:szCs w:val="20"/>
              </w:rPr>
              <w:t>Both criteria must be met:</w:t>
            </w:r>
          </w:p>
          <w:p w14:paraId="70033B5E" w14:textId="77777777" w:rsidR="00613A7D" w:rsidRDefault="00613A7D" w:rsidP="003430D4">
            <w:pPr>
              <w:pStyle w:val="NormalWeb"/>
              <w:numPr>
                <w:ilvl w:val="0"/>
                <w:numId w:val="3"/>
              </w:numPr>
              <w:spacing w:before="0" w:beforeAutospacing="0" w:after="0" w:afterAutospacing="0" w:line="276" w:lineRule="auto"/>
            </w:pPr>
            <w:r>
              <w:rPr>
                <w:rFonts w:ascii="Arial" w:hAnsi="Arial" w:cs="Arial"/>
                <w:sz w:val="20"/>
                <w:szCs w:val="20"/>
              </w:rPr>
              <w:t>Serum monoclonal protein (IgG or IgA) ≥3gm/dL, or urinary monoclonal protein ≥ 500 mg per 24h and/or clonal bone marrow plasma cells 10-60%</w:t>
            </w:r>
          </w:p>
          <w:p w14:paraId="47098580" w14:textId="77777777" w:rsidR="00613A7D" w:rsidRDefault="00613A7D" w:rsidP="003430D4">
            <w:pPr>
              <w:pStyle w:val="NormalWeb"/>
              <w:numPr>
                <w:ilvl w:val="0"/>
                <w:numId w:val="3"/>
              </w:numPr>
              <w:spacing w:before="0" w:beforeAutospacing="0" w:after="0" w:afterAutospacing="0" w:line="276" w:lineRule="auto"/>
            </w:pPr>
            <w:r>
              <w:rPr>
                <w:rFonts w:ascii="Arial" w:hAnsi="Arial" w:cs="Arial"/>
                <w:sz w:val="20"/>
                <w:szCs w:val="20"/>
              </w:rPr>
              <w:t>Absence of myeloma defining events or amyloidosis</w:t>
            </w:r>
          </w:p>
        </w:tc>
      </w:tr>
      <w:tr w:rsidR="003E28EC" w14:paraId="726FD47D" w14:textId="77777777" w:rsidTr="003430D4">
        <w:trPr>
          <w:divId w:val="420878868"/>
        </w:trPr>
        <w:tc>
          <w:tcPr>
            <w:tcW w:w="10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776631" w14:textId="77777777" w:rsidR="00613A7D" w:rsidRDefault="00613A7D" w:rsidP="003430D4">
            <w:pPr>
              <w:pStyle w:val="NormalWeb"/>
              <w:spacing w:before="0" w:beforeAutospacing="0" w:after="0" w:afterAutospacing="0" w:line="276" w:lineRule="auto"/>
            </w:pPr>
            <w:r>
              <w:rPr>
                <w:rFonts w:ascii="Arial" w:hAnsi="Arial" w:cs="Arial"/>
                <w:color w:val="000000"/>
                <w:sz w:val="20"/>
                <w:szCs w:val="20"/>
              </w:rPr>
              <w:t>Plasma cell myeloma/ Multiple Myeloma</w:t>
            </w:r>
          </w:p>
        </w:tc>
        <w:tc>
          <w:tcPr>
            <w:tcW w:w="392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9830A8" w14:textId="77777777" w:rsidR="00613A7D" w:rsidRDefault="00613A7D" w:rsidP="003430D4">
            <w:pPr>
              <w:pStyle w:val="NormalWeb"/>
              <w:spacing w:before="0" w:beforeAutospacing="0" w:after="0" w:afterAutospacing="0" w:line="276" w:lineRule="auto"/>
              <w:ind w:left="450" w:hanging="360"/>
            </w:pPr>
            <w:r>
              <w:rPr>
                <w:rFonts w:ascii="Arial" w:hAnsi="Arial" w:cs="Arial"/>
                <w:b/>
                <w:bCs/>
                <w:sz w:val="20"/>
                <w:szCs w:val="20"/>
              </w:rPr>
              <w:t>Both criteria must be met:</w:t>
            </w:r>
          </w:p>
          <w:p w14:paraId="4C8F621D" w14:textId="77777777" w:rsidR="00613A7D" w:rsidRDefault="00613A7D" w:rsidP="003430D4">
            <w:pPr>
              <w:pStyle w:val="NormalWeb"/>
              <w:numPr>
                <w:ilvl w:val="0"/>
                <w:numId w:val="4"/>
              </w:numPr>
              <w:spacing w:before="0" w:beforeAutospacing="0" w:after="0" w:afterAutospacing="0" w:line="276" w:lineRule="auto"/>
            </w:pPr>
            <w:r>
              <w:rPr>
                <w:rFonts w:ascii="Arial" w:hAnsi="Arial" w:cs="Arial"/>
                <w:sz w:val="20"/>
                <w:szCs w:val="20"/>
              </w:rPr>
              <w:t xml:space="preserve">Clonal bone marrow plasma cells ≥10% or biopsy-proven bony </w:t>
            </w:r>
            <w:proofErr w:type="gramStart"/>
            <w:r>
              <w:rPr>
                <w:rFonts w:ascii="Arial" w:hAnsi="Arial" w:cs="Arial"/>
                <w:sz w:val="20"/>
                <w:szCs w:val="20"/>
              </w:rPr>
              <w:t>or  extramedullary</w:t>
            </w:r>
            <w:proofErr w:type="gramEnd"/>
            <w:r>
              <w:rPr>
                <w:rFonts w:ascii="Arial" w:hAnsi="Arial" w:cs="Arial"/>
                <w:sz w:val="20"/>
                <w:szCs w:val="20"/>
              </w:rPr>
              <w:t xml:space="preserve"> plasmacytoma</w:t>
            </w:r>
          </w:p>
          <w:p w14:paraId="33B3DE82" w14:textId="77777777" w:rsidR="00613A7D" w:rsidRDefault="00613A7D" w:rsidP="003430D4">
            <w:pPr>
              <w:pStyle w:val="NormalWeb"/>
              <w:numPr>
                <w:ilvl w:val="0"/>
                <w:numId w:val="4"/>
              </w:numPr>
              <w:spacing w:before="0" w:beforeAutospacing="0" w:after="0" w:afterAutospacing="0" w:line="276" w:lineRule="auto"/>
            </w:pPr>
            <w:r>
              <w:rPr>
                <w:rFonts w:ascii="Arial" w:hAnsi="Arial" w:cs="Arial"/>
                <w:sz w:val="20"/>
                <w:szCs w:val="20"/>
              </w:rPr>
              <w:t>Any one or more of the following myeloma defining events:</w:t>
            </w:r>
          </w:p>
          <w:p w14:paraId="166BF141" w14:textId="77777777" w:rsidR="00613A7D" w:rsidRDefault="00613A7D" w:rsidP="003430D4">
            <w:pPr>
              <w:pStyle w:val="NormalWeb"/>
              <w:numPr>
                <w:ilvl w:val="0"/>
                <w:numId w:val="5"/>
              </w:numPr>
              <w:spacing w:before="0" w:beforeAutospacing="0" w:after="0" w:afterAutospacing="0" w:line="276" w:lineRule="auto"/>
              <w:ind w:left="1530"/>
            </w:pPr>
            <w:r>
              <w:rPr>
                <w:rFonts w:ascii="Arial" w:hAnsi="Arial" w:cs="Arial"/>
                <w:sz w:val="20"/>
                <w:szCs w:val="20"/>
              </w:rPr>
              <w:t>Evidence of end organ damage that can be attributed to the underlying plasma cell proliferative disorder, specifically:</w:t>
            </w:r>
          </w:p>
          <w:p w14:paraId="4612FDCA" w14:textId="77777777" w:rsidR="00613A7D" w:rsidRDefault="00613A7D" w:rsidP="003430D4">
            <w:pPr>
              <w:pStyle w:val="NormalWeb"/>
              <w:numPr>
                <w:ilvl w:val="0"/>
                <w:numId w:val="6"/>
              </w:numPr>
              <w:spacing w:before="0" w:beforeAutospacing="0" w:after="0" w:afterAutospacing="0" w:line="276" w:lineRule="auto"/>
              <w:ind w:left="1530"/>
            </w:pPr>
            <w:r>
              <w:rPr>
                <w:rFonts w:ascii="Arial" w:hAnsi="Arial" w:cs="Arial"/>
                <w:sz w:val="20"/>
                <w:szCs w:val="20"/>
              </w:rPr>
              <w:t>Hypercalcemia: serum calcium &gt;0·25 mmol/L (&gt;1 mg/dL) higher than the upper limit of normal or &gt;2·75 mmol/L (&gt;11 mg/dL)</w:t>
            </w:r>
          </w:p>
          <w:p w14:paraId="619F0A8B" w14:textId="77777777" w:rsidR="00613A7D" w:rsidRDefault="00613A7D" w:rsidP="003430D4">
            <w:pPr>
              <w:pStyle w:val="NormalWeb"/>
              <w:numPr>
                <w:ilvl w:val="0"/>
                <w:numId w:val="6"/>
              </w:numPr>
              <w:spacing w:before="0" w:beforeAutospacing="0" w:after="0" w:afterAutospacing="0" w:line="276" w:lineRule="auto"/>
              <w:ind w:left="1530"/>
            </w:pPr>
            <w:r>
              <w:rPr>
                <w:rFonts w:ascii="Arial" w:hAnsi="Arial" w:cs="Arial"/>
                <w:sz w:val="20"/>
                <w:szCs w:val="20"/>
              </w:rPr>
              <w:t xml:space="preserve">Renal insufficiency: creatinine clearance &lt;40 mL per minute or serum creatinine &gt;177 </w:t>
            </w:r>
            <w:proofErr w:type="spellStart"/>
            <w:r>
              <w:rPr>
                <w:rFonts w:ascii="Arial" w:hAnsi="Arial" w:cs="Arial"/>
                <w:sz w:val="20"/>
                <w:szCs w:val="20"/>
              </w:rPr>
              <w:t>μmol</w:t>
            </w:r>
            <w:proofErr w:type="spellEnd"/>
            <w:r>
              <w:rPr>
                <w:rFonts w:ascii="Arial" w:hAnsi="Arial" w:cs="Arial"/>
                <w:sz w:val="20"/>
                <w:szCs w:val="20"/>
              </w:rPr>
              <w:t>/L (&gt;2 mg/dL)</w:t>
            </w:r>
          </w:p>
          <w:p w14:paraId="2D64605F" w14:textId="77777777" w:rsidR="00613A7D" w:rsidRDefault="00613A7D" w:rsidP="003430D4">
            <w:pPr>
              <w:pStyle w:val="NormalWeb"/>
              <w:numPr>
                <w:ilvl w:val="0"/>
                <w:numId w:val="6"/>
              </w:numPr>
              <w:spacing w:before="0" w:beforeAutospacing="0" w:after="0" w:afterAutospacing="0" w:line="276" w:lineRule="auto"/>
              <w:ind w:left="1530"/>
            </w:pPr>
            <w:r>
              <w:rPr>
                <w:rFonts w:ascii="Arial" w:hAnsi="Arial" w:cs="Arial"/>
                <w:sz w:val="20"/>
                <w:szCs w:val="20"/>
              </w:rPr>
              <w:t>Anemia: hemoglobin value of &gt;2 g/dL below the lower limit of normal, or a hemoglobin value &lt;10 g/dL</w:t>
            </w:r>
          </w:p>
          <w:p w14:paraId="7ED1E93C" w14:textId="77777777" w:rsidR="00613A7D" w:rsidRDefault="00613A7D" w:rsidP="003430D4">
            <w:pPr>
              <w:pStyle w:val="NormalWeb"/>
              <w:numPr>
                <w:ilvl w:val="0"/>
                <w:numId w:val="6"/>
              </w:numPr>
              <w:spacing w:before="0" w:beforeAutospacing="0" w:after="0" w:afterAutospacing="0" w:line="276" w:lineRule="auto"/>
              <w:ind w:left="1530"/>
            </w:pPr>
            <w:r>
              <w:rPr>
                <w:rFonts w:ascii="Arial" w:hAnsi="Arial" w:cs="Arial"/>
                <w:sz w:val="20"/>
                <w:szCs w:val="20"/>
              </w:rPr>
              <w:t>Bone lesions: one or more osteolytic lesions on skeletal radiography, computed tomography (CT), or positron emission tomography-CT (PET-CT)</w:t>
            </w:r>
          </w:p>
          <w:p w14:paraId="55EDA300" w14:textId="77777777" w:rsidR="00613A7D" w:rsidRDefault="00613A7D" w:rsidP="003430D4">
            <w:pPr>
              <w:pStyle w:val="NormalWeb"/>
              <w:numPr>
                <w:ilvl w:val="0"/>
                <w:numId w:val="7"/>
              </w:numPr>
              <w:spacing w:before="0" w:beforeAutospacing="0" w:after="0" w:afterAutospacing="0" w:line="276" w:lineRule="auto"/>
            </w:pPr>
            <w:r>
              <w:rPr>
                <w:rFonts w:ascii="Arial" w:hAnsi="Arial" w:cs="Arial"/>
                <w:sz w:val="20"/>
                <w:szCs w:val="20"/>
              </w:rPr>
              <w:t>Clonal bone marrow plasma cell percentage ≥60%</w:t>
            </w:r>
          </w:p>
          <w:p w14:paraId="189308C0" w14:textId="77777777" w:rsidR="00613A7D" w:rsidRDefault="00613A7D" w:rsidP="003430D4">
            <w:pPr>
              <w:pStyle w:val="NormalWeb"/>
              <w:numPr>
                <w:ilvl w:val="0"/>
                <w:numId w:val="7"/>
              </w:numPr>
              <w:spacing w:before="0" w:beforeAutospacing="0" w:after="0" w:afterAutospacing="0" w:line="276" w:lineRule="auto"/>
            </w:pPr>
            <w:r>
              <w:rPr>
                <w:rFonts w:ascii="Arial" w:hAnsi="Arial" w:cs="Arial"/>
                <w:sz w:val="20"/>
                <w:szCs w:val="20"/>
              </w:rPr>
              <w:t>Involved: uninvolved serum free light chain (FLC) ratio ≥100 (involved free light chain level must be ≥100 mg/L)</w:t>
            </w:r>
          </w:p>
          <w:p w14:paraId="5BC367BE" w14:textId="77777777" w:rsidR="00613A7D" w:rsidRDefault="00613A7D" w:rsidP="003430D4">
            <w:pPr>
              <w:pStyle w:val="NormalWeb"/>
              <w:numPr>
                <w:ilvl w:val="0"/>
                <w:numId w:val="7"/>
              </w:numPr>
              <w:spacing w:before="0" w:beforeAutospacing="0" w:after="0" w:afterAutospacing="0" w:line="276" w:lineRule="auto"/>
            </w:pPr>
            <w:r>
              <w:rPr>
                <w:rFonts w:ascii="Arial" w:hAnsi="Arial" w:cs="Arial"/>
                <w:sz w:val="20"/>
                <w:szCs w:val="20"/>
              </w:rPr>
              <w:t>&gt;1 focal lesions on magnetic resonance imaging (MRI) studies (at least 5mm in size)</w:t>
            </w:r>
          </w:p>
        </w:tc>
      </w:tr>
      <w:tr w:rsidR="003E28EC" w14:paraId="1BDE3628" w14:textId="77777777" w:rsidTr="003430D4">
        <w:trPr>
          <w:divId w:val="420878868"/>
        </w:trPr>
        <w:tc>
          <w:tcPr>
            <w:tcW w:w="10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37B1E7" w14:textId="77777777" w:rsidR="00613A7D" w:rsidRDefault="00613A7D" w:rsidP="003430D4">
            <w:pPr>
              <w:pStyle w:val="NormalWeb"/>
              <w:spacing w:before="0" w:beforeAutospacing="0" w:after="0" w:afterAutospacing="0" w:line="276" w:lineRule="auto"/>
            </w:pPr>
            <w:r>
              <w:rPr>
                <w:rFonts w:ascii="Arial" w:hAnsi="Arial" w:cs="Arial"/>
                <w:color w:val="000000"/>
                <w:sz w:val="20"/>
                <w:szCs w:val="20"/>
              </w:rPr>
              <w:t>Plasma cell leukemia</w:t>
            </w:r>
          </w:p>
        </w:tc>
        <w:tc>
          <w:tcPr>
            <w:tcW w:w="392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B0B360" w14:textId="77777777" w:rsidR="00613A7D" w:rsidRDefault="00613A7D" w:rsidP="003430D4">
            <w:pPr>
              <w:pStyle w:val="NormalWeb"/>
              <w:numPr>
                <w:ilvl w:val="0"/>
                <w:numId w:val="8"/>
              </w:numPr>
              <w:spacing w:before="0" w:beforeAutospacing="0" w:after="0" w:afterAutospacing="0" w:line="276" w:lineRule="auto"/>
            </w:pPr>
            <w:r>
              <w:rPr>
                <w:rFonts w:ascii="Arial" w:hAnsi="Arial" w:cs="Arial"/>
                <w:sz w:val="20"/>
                <w:szCs w:val="20"/>
              </w:rPr>
              <w:t>Presence of 5% or more circulating plasma cells in blood smears in patients otherwise diagnosed with PCM</w:t>
            </w:r>
          </w:p>
        </w:tc>
      </w:tr>
    </w:tbl>
    <w:p w14:paraId="36D04C90" w14:textId="77777777" w:rsidR="00613A7D" w:rsidRDefault="00613A7D" w:rsidP="003430D4">
      <w:pPr>
        <w:pStyle w:val="NormalWeb"/>
        <w:spacing w:before="0" w:beforeAutospacing="0" w:after="0" w:afterAutospacing="0" w:line="276" w:lineRule="auto"/>
        <w:divId w:val="420878868"/>
        <w:rPr>
          <w:lang w:val="en"/>
        </w:rPr>
      </w:pPr>
      <w:r>
        <w:rPr>
          <w:lang w:val="en"/>
        </w:rPr>
        <w:t> </w:t>
      </w:r>
    </w:p>
    <w:p w14:paraId="7015F458" w14:textId="399188D7" w:rsidR="00613A7D" w:rsidRDefault="00613A7D" w:rsidP="003430D4">
      <w:pPr>
        <w:pStyle w:val="NormalWeb"/>
        <w:spacing w:before="0" w:beforeAutospacing="0" w:after="0" w:afterAutospacing="0" w:line="276" w:lineRule="auto"/>
        <w:divId w:val="420878868"/>
        <w:rPr>
          <w:lang w:val="en"/>
        </w:rPr>
      </w:pPr>
      <w:r>
        <w:rPr>
          <w:rFonts w:ascii="Arial" w:hAnsi="Arial" w:cs="Arial"/>
          <w:b/>
          <w:bCs/>
          <w:sz w:val="20"/>
          <w:szCs w:val="20"/>
          <w:u w:val="single"/>
          <w:lang w:val="en"/>
        </w:rPr>
        <w:t xml:space="preserve">Immunoglobulin-related (AL) </w:t>
      </w:r>
      <w:r w:rsidR="00D8707A">
        <w:rPr>
          <w:rFonts w:ascii="Arial" w:hAnsi="Arial" w:cs="Arial"/>
          <w:b/>
          <w:bCs/>
          <w:sz w:val="20"/>
          <w:szCs w:val="20"/>
          <w:u w:val="single"/>
          <w:lang w:val="en"/>
        </w:rPr>
        <w:t>A</w:t>
      </w:r>
      <w:r>
        <w:rPr>
          <w:rFonts w:ascii="Arial" w:hAnsi="Arial" w:cs="Arial"/>
          <w:b/>
          <w:bCs/>
          <w:sz w:val="20"/>
          <w:szCs w:val="20"/>
          <w:u w:val="single"/>
          <w:lang w:val="en"/>
        </w:rPr>
        <w:t>myloidosis</w:t>
      </w:r>
    </w:p>
    <w:p w14:paraId="154BD17A" w14:textId="77777777" w:rsidR="00613A7D" w:rsidRDefault="00613A7D" w:rsidP="003430D4">
      <w:pPr>
        <w:pStyle w:val="NormalWeb"/>
        <w:spacing w:before="0" w:beforeAutospacing="0" w:after="0" w:afterAutospacing="0" w:line="276" w:lineRule="auto"/>
        <w:divId w:val="420878868"/>
        <w:rPr>
          <w:lang w:val="en"/>
        </w:rPr>
      </w:pPr>
      <w:r>
        <w:rPr>
          <w:rFonts w:ascii="Arial" w:hAnsi="Arial" w:cs="Arial"/>
          <w:sz w:val="20"/>
          <w:szCs w:val="20"/>
          <w:lang w:val="en"/>
        </w:rPr>
        <w:t xml:space="preserve">Immunoglobulin light chain related amyloidosis (AL amyloidosis) is the abnormal extracellular accumulation of linear non-branching fibrils produced by clonal plasma cell or B-cells resulting in end-organ dysfunction. On routine-stained H&amp;E sections, amyloid is an amorphous, pink substance often with apparent artifactual “cracking”; adjacent histiocytes and foreign body type giant cells may be seen adjacent to such deposits. Congo red staining using bright field and polarized microscopy looking for </w:t>
      </w:r>
      <w:r>
        <w:rPr>
          <w:rFonts w:ascii="Arial" w:hAnsi="Arial" w:cs="Arial"/>
          <w:sz w:val="20"/>
          <w:szCs w:val="20"/>
          <w:lang w:val="en"/>
        </w:rPr>
        <w:lastRenderedPageBreak/>
        <w:t>apple green birefringence is more sensitive than H&amp;E while Congo red fluorescence microscopy provides higher sensitivity in tissue evaluations.</w:t>
      </w:r>
      <w:hyperlink w:anchor="R69263" w:tgtFrame="_top" w:tooltip="Marcus A, Sadimin E, Richardson M, Goodell L, Fyfe B. Fluorescence microscopy is superior to polarized microscopy for detecting amyloid deposits in Congo red-stained trephine bone marrow biopsy specimens. &amp;lt;em&amp;gt;Am J Clin Pathol.&amp;lt;/em&amp;gt; 2012 Oct;138(4):" w:history="1">
        <w:r>
          <w:rPr>
            <w:rStyle w:val="Hyperlink"/>
            <w:vertAlign w:val="superscript"/>
            <w:lang w:val="en"/>
          </w:rPr>
          <w:t>4</w:t>
        </w:r>
      </w:hyperlink>
      <w:r>
        <w:rPr>
          <w:rFonts w:ascii="Arial" w:hAnsi="Arial" w:cs="Arial"/>
          <w:sz w:val="20"/>
          <w:szCs w:val="20"/>
          <w:lang w:val="en"/>
        </w:rPr>
        <w:t> Laser microdissection/tandem mass spectrometry has virtually 100% sensitivity and specificity for typing amyloid and allows confirmation of AL type amyloidosis and more definitive exclusion of hereditary amyloidosis.</w:t>
      </w:r>
      <w:hyperlink w:anchor="R69264" w:tgtFrame="_top" w:tooltip="Julie A. Vrana, Jeffrey D. Gamez, Benjamin J. Madden, Jason D. Theis, H. Robert Bergen, Ahmet Dogan; Classification of amyloidosis by laser microdissection and mass spectrometry–based proteomic analysis in clinical biopsy specimens. &amp;lt;em&amp;gt;Blood&amp;lt;/em&amp;gt; " w:history="1">
        <w:r>
          <w:rPr>
            <w:rStyle w:val="Hyperlink"/>
            <w:vertAlign w:val="superscript"/>
            <w:lang w:val="en"/>
          </w:rPr>
          <w:t>5</w:t>
        </w:r>
      </w:hyperlink>
      <w:r>
        <w:rPr>
          <w:rFonts w:ascii="Arial" w:hAnsi="Arial" w:cs="Arial"/>
          <w:i/>
          <w:iCs/>
          <w:sz w:val="20"/>
          <w:szCs w:val="20"/>
          <w:lang w:val="en"/>
        </w:rPr>
        <w:t>    </w:t>
      </w:r>
    </w:p>
    <w:p w14:paraId="18AFF264" w14:textId="77777777" w:rsidR="00613A7D" w:rsidRDefault="00613A7D" w:rsidP="003430D4">
      <w:pPr>
        <w:pStyle w:val="NormalWeb"/>
        <w:spacing w:before="0" w:beforeAutospacing="0" w:after="0" w:afterAutospacing="0" w:line="276" w:lineRule="auto"/>
        <w:divId w:val="420878868"/>
        <w:rPr>
          <w:lang w:val="en"/>
        </w:rPr>
      </w:pPr>
      <w:r>
        <w:rPr>
          <w:lang w:val="en"/>
        </w:rPr>
        <w:t> </w:t>
      </w:r>
    </w:p>
    <w:p w14:paraId="30F29B3B" w14:textId="36BD7BEA" w:rsidR="00613A7D" w:rsidRDefault="00613A7D" w:rsidP="003430D4">
      <w:pPr>
        <w:pStyle w:val="NormalWeb"/>
        <w:spacing w:before="0" w:beforeAutospacing="0" w:after="0" w:afterAutospacing="0" w:line="276" w:lineRule="auto"/>
        <w:divId w:val="420878868"/>
        <w:rPr>
          <w:lang w:val="en"/>
        </w:rPr>
      </w:pPr>
      <w:r>
        <w:rPr>
          <w:rFonts w:ascii="Arial" w:hAnsi="Arial" w:cs="Arial"/>
          <w:b/>
          <w:bCs/>
          <w:sz w:val="20"/>
          <w:szCs w:val="20"/>
          <w:lang w:val="en"/>
        </w:rPr>
        <w:t>Monoclonal Immunoglobulin Deposition Disease</w:t>
      </w:r>
      <w:r>
        <w:rPr>
          <w:lang w:val="en"/>
        </w:rPr>
        <w:br/>
      </w:r>
      <w:r>
        <w:rPr>
          <w:lang w:val="en"/>
        </w:rPr>
        <w:br/>
      </w:r>
      <w:r>
        <w:rPr>
          <w:rFonts w:ascii="Arial" w:hAnsi="Arial" w:cs="Arial"/>
          <w:sz w:val="20"/>
          <w:szCs w:val="20"/>
          <w:lang w:val="en"/>
        </w:rPr>
        <w:t>Monoclonal immunoglobulin deposition disease is the accumulation of non-amyloidogenic immunoglobulin in tissues secondary to plasma cell neoplasia or less frequently B-cell neoplasia (2-3%, usually lymphoplasmacytic lymphoma or chronic lymphocytic leukemia).</w:t>
      </w:r>
      <w:hyperlink w:anchor="R69265" w:tgtFrame="_top" w:tooltip="Pozzi C, D&amp;#39;Amico M, Fogazzi GB, Curioni S, Ferrario F, Pasquali S, Quattrocchio G, Rollino C, Segagni S, Locatelli F. Light chain deposition disease with renal involvement: clinical characteristics and prognostic factors.&amp;lt;em&amp;gt; Am J Kidney Dis.&amp;lt;/em&amp;" w:history="1">
        <w:r>
          <w:rPr>
            <w:rStyle w:val="Hyperlink"/>
            <w:vertAlign w:val="superscript"/>
            <w:lang w:val="en"/>
          </w:rPr>
          <w:t>6</w:t>
        </w:r>
      </w:hyperlink>
      <w:r>
        <w:rPr>
          <w:rFonts w:ascii="Arial" w:hAnsi="Arial" w:cs="Arial"/>
          <w:sz w:val="20"/>
          <w:szCs w:val="20"/>
          <w:lang w:val="en"/>
        </w:rPr>
        <w:t> The three subtypes are listed in the cancer case summary: Light chain deposition disease, light and heavy chain deposition disease, and heavy chain deposition disease. Determination of the type of immunoglobulin deposition is frequently accomplished by fluorescence microscopy on renal biopsies and immunohistochemistry and mass spectrometry on other samples.</w:t>
      </w:r>
      <w:hyperlink w:anchor="R69260" w:tgtFrame="_top" w:tooltip="WHO Classification of Tumours Editorial Board. &amp;lt;em&amp;gt;Haematolymphoid tumours &amp;lt;/em&amp;gt;[Internet; beta version ahead of print]. Lyon (France): International Agency for Research on Cancer; 2022 [cited 2023 06 13]. (WHO classification of tumours series, 5th" w:history="1">
        <w:r>
          <w:rPr>
            <w:rStyle w:val="Hyperlink"/>
            <w:vertAlign w:val="superscript"/>
            <w:lang w:val="en"/>
          </w:rPr>
          <w:t>1</w:t>
        </w:r>
      </w:hyperlink>
      <w:r>
        <w:rPr>
          <w:rFonts w:ascii="Arial" w:hAnsi="Arial" w:cs="Arial"/>
          <w:sz w:val="20"/>
          <w:szCs w:val="20"/>
          <w:lang w:val="en"/>
        </w:rPr>
        <w:t> </w:t>
      </w:r>
    </w:p>
    <w:p w14:paraId="6639E30C" w14:textId="77777777" w:rsidR="00613A7D" w:rsidRDefault="00613A7D" w:rsidP="003430D4">
      <w:pPr>
        <w:pStyle w:val="NormalWeb"/>
        <w:spacing w:before="0" w:beforeAutospacing="0" w:after="0" w:afterAutospacing="0" w:line="276" w:lineRule="auto"/>
        <w:divId w:val="420878868"/>
        <w:rPr>
          <w:lang w:val="en"/>
        </w:rPr>
      </w:pPr>
      <w:r>
        <w:rPr>
          <w:lang w:val="en"/>
        </w:rPr>
        <w:t> </w:t>
      </w:r>
    </w:p>
    <w:p w14:paraId="55C8418A" w14:textId="77777777" w:rsidR="00613A7D" w:rsidRDefault="00613A7D" w:rsidP="003430D4">
      <w:pPr>
        <w:pStyle w:val="NormalWeb"/>
        <w:spacing w:before="0" w:beforeAutospacing="0" w:after="0" w:afterAutospacing="0" w:line="276" w:lineRule="auto"/>
        <w:divId w:val="420878868"/>
        <w:rPr>
          <w:lang w:val="en"/>
        </w:rPr>
      </w:pPr>
      <w:r>
        <w:rPr>
          <w:rFonts w:ascii="Arial" w:hAnsi="Arial" w:cs="Arial"/>
          <w:b/>
          <w:bCs/>
          <w:sz w:val="20"/>
          <w:szCs w:val="20"/>
          <w:lang w:val="en"/>
        </w:rPr>
        <w:t>TABLE 2. SUMMARY OF DIAGNOSTIC CRITERIA FOR DISEASES WITH IMMUNOGLOBULIN DEPOSITION DISEASE</w:t>
      </w:r>
      <w:hyperlink w:anchor="R69260" w:tgtFrame="_top" w:tooltip="WHO Classification of Tumours Editorial Board. &amp;lt;em&amp;gt;Haematolymphoid tumours &amp;lt;/em&amp;gt;[Internet; beta version ahead of print]. Lyon (France): International Agency for Research on Cancer; 2022 [cited 2023 06 13]. (WHO classification of tumours series, 5th" w:history="1">
        <w:r>
          <w:rPr>
            <w:rStyle w:val="Hyperlink"/>
            <w:vertAlign w:val="superscript"/>
            <w:lang w:val="en"/>
          </w:rPr>
          <w:t>1</w:t>
        </w:r>
      </w:hyperlink>
    </w:p>
    <w:tbl>
      <w:tblPr>
        <w:tblW w:w="5085" w:type="pct"/>
        <w:tblCellMar>
          <w:top w:w="15" w:type="dxa"/>
          <w:left w:w="15" w:type="dxa"/>
          <w:bottom w:w="15" w:type="dxa"/>
          <w:right w:w="15" w:type="dxa"/>
        </w:tblCellMar>
        <w:tblLook w:val="04A0" w:firstRow="1" w:lastRow="0" w:firstColumn="1" w:lastColumn="0" w:noHBand="0" w:noVBand="1"/>
      </w:tblPr>
      <w:tblGrid>
        <w:gridCol w:w="1642"/>
        <w:gridCol w:w="3235"/>
        <w:gridCol w:w="4862"/>
      </w:tblGrid>
      <w:tr w:rsidR="003E28EC" w14:paraId="4311700A" w14:textId="77777777" w:rsidTr="003430D4">
        <w:trPr>
          <w:divId w:val="420878868"/>
        </w:trPr>
        <w:tc>
          <w:tcPr>
            <w:tcW w:w="843"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7E872079" w14:textId="77777777" w:rsidR="00613A7D" w:rsidRDefault="00613A7D" w:rsidP="003430D4">
            <w:pPr>
              <w:pStyle w:val="NormalWeb"/>
              <w:spacing w:before="0" w:beforeAutospacing="0" w:after="0" w:afterAutospacing="0" w:line="276" w:lineRule="auto"/>
            </w:pPr>
            <w:r>
              <w:rPr>
                <w:rFonts w:ascii="Arial" w:hAnsi="Arial" w:cs="Arial"/>
                <w:b/>
                <w:bCs/>
                <w:color w:val="000000"/>
                <w:sz w:val="20"/>
                <w:szCs w:val="20"/>
              </w:rPr>
              <w:t>Subtype</w:t>
            </w:r>
          </w:p>
        </w:tc>
        <w:tc>
          <w:tcPr>
            <w:tcW w:w="1661"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20F5BDE4" w14:textId="77777777" w:rsidR="00613A7D" w:rsidRDefault="00613A7D" w:rsidP="003430D4">
            <w:pPr>
              <w:pStyle w:val="NormalWeb"/>
              <w:spacing w:before="0" w:beforeAutospacing="0" w:after="0" w:afterAutospacing="0" w:line="276" w:lineRule="auto"/>
            </w:pPr>
            <w:r>
              <w:rPr>
                <w:rFonts w:ascii="Arial" w:hAnsi="Arial" w:cs="Arial"/>
                <w:b/>
                <w:bCs/>
                <w:color w:val="000000"/>
                <w:sz w:val="20"/>
                <w:szCs w:val="20"/>
              </w:rPr>
              <w:t>Essential diagnostic criteria</w:t>
            </w:r>
          </w:p>
        </w:tc>
        <w:tc>
          <w:tcPr>
            <w:tcW w:w="2496"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0E829817" w14:textId="77777777" w:rsidR="00613A7D" w:rsidRDefault="00613A7D" w:rsidP="003430D4">
            <w:pPr>
              <w:pStyle w:val="NormalWeb"/>
              <w:spacing w:before="0" w:beforeAutospacing="0" w:after="0" w:afterAutospacing="0" w:line="276" w:lineRule="auto"/>
            </w:pPr>
            <w:r>
              <w:rPr>
                <w:rFonts w:ascii="Arial" w:hAnsi="Arial" w:cs="Arial"/>
                <w:b/>
                <w:bCs/>
                <w:color w:val="000000"/>
                <w:sz w:val="20"/>
                <w:szCs w:val="20"/>
              </w:rPr>
              <w:t>Desirable diagnostic criteria/ Notes</w:t>
            </w:r>
          </w:p>
        </w:tc>
      </w:tr>
      <w:tr w:rsidR="003E28EC" w14:paraId="4D5DA041" w14:textId="77777777" w:rsidTr="003430D4">
        <w:trPr>
          <w:divId w:val="420878868"/>
          <w:trHeight w:val="6690"/>
        </w:trPr>
        <w:tc>
          <w:tcPr>
            <w:tcW w:w="8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0406A1" w14:textId="77777777" w:rsidR="00613A7D" w:rsidRDefault="00613A7D" w:rsidP="003430D4">
            <w:pPr>
              <w:pStyle w:val="NormalWeb"/>
              <w:spacing w:before="0" w:beforeAutospacing="0" w:after="0" w:afterAutospacing="0" w:line="276" w:lineRule="auto"/>
            </w:pPr>
            <w:r>
              <w:rPr>
                <w:rFonts w:ascii="Arial" w:hAnsi="Arial" w:cs="Arial"/>
                <w:color w:val="000000"/>
                <w:sz w:val="20"/>
                <w:szCs w:val="20"/>
              </w:rPr>
              <w:t>Immunoglobulin light chain amyloidosis (AL amyloidosis)</w:t>
            </w:r>
          </w:p>
        </w:tc>
        <w:tc>
          <w:tcPr>
            <w:tcW w:w="166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7EFD8C" w14:textId="77777777" w:rsidR="00613A7D" w:rsidRDefault="00613A7D" w:rsidP="003430D4">
            <w:pPr>
              <w:pStyle w:val="NormalWeb"/>
              <w:numPr>
                <w:ilvl w:val="0"/>
                <w:numId w:val="9"/>
              </w:numPr>
              <w:spacing w:before="0" w:beforeAutospacing="0" w:after="0" w:afterAutospacing="0" w:line="276" w:lineRule="auto"/>
            </w:pPr>
            <w:r>
              <w:rPr>
                <w:rFonts w:ascii="Arial" w:hAnsi="Arial" w:cs="Arial"/>
                <w:sz w:val="20"/>
                <w:szCs w:val="20"/>
              </w:rPr>
              <w:t>Documentation of amyloid related end organ dysfunction by clinical examination (soft tissue deposition, polyneuropathy, autonomic neuropathy), supported by abnormality on tests for organ function in blood or urine</w:t>
            </w:r>
          </w:p>
          <w:p w14:paraId="2AD19A09" w14:textId="77777777" w:rsidR="00613A7D" w:rsidRDefault="00613A7D" w:rsidP="003430D4">
            <w:pPr>
              <w:pStyle w:val="NormalWeb"/>
              <w:numPr>
                <w:ilvl w:val="0"/>
                <w:numId w:val="9"/>
              </w:numPr>
              <w:spacing w:before="0" w:beforeAutospacing="0" w:after="0" w:afterAutospacing="0" w:line="276" w:lineRule="auto"/>
            </w:pPr>
            <w:r>
              <w:rPr>
                <w:rFonts w:ascii="Arial" w:hAnsi="Arial" w:cs="Arial"/>
                <w:sz w:val="20"/>
                <w:szCs w:val="20"/>
              </w:rPr>
              <w:t>Monoclonal protein in serum or urine or abnormal serum free light chains</w:t>
            </w:r>
          </w:p>
          <w:p w14:paraId="460F0B42" w14:textId="77777777" w:rsidR="00613A7D" w:rsidRDefault="00613A7D" w:rsidP="003430D4">
            <w:pPr>
              <w:pStyle w:val="NormalWeb"/>
              <w:numPr>
                <w:ilvl w:val="0"/>
                <w:numId w:val="9"/>
              </w:numPr>
              <w:spacing w:before="0" w:beforeAutospacing="0" w:after="0" w:afterAutospacing="0" w:line="276" w:lineRule="auto"/>
            </w:pPr>
            <w:r>
              <w:rPr>
                <w:rFonts w:ascii="Arial" w:hAnsi="Arial" w:cs="Arial"/>
                <w:sz w:val="20"/>
                <w:szCs w:val="20"/>
              </w:rPr>
              <w:t>Demonstration of amyloid deposition on tissue biopsy (abdominal fat or bone marrow or salivary gland or affected organ biopsy) by Congo red (or similar thioflavin) stain or typical fibrils on electron microscopy</w:t>
            </w:r>
          </w:p>
        </w:tc>
        <w:tc>
          <w:tcPr>
            <w:tcW w:w="249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2FC176" w14:textId="3ACF180D" w:rsidR="00613A7D" w:rsidRDefault="00613A7D" w:rsidP="003430D4">
            <w:pPr>
              <w:pStyle w:val="NormalWeb"/>
              <w:numPr>
                <w:ilvl w:val="0"/>
                <w:numId w:val="10"/>
              </w:numPr>
              <w:spacing w:before="0" w:beforeAutospacing="0" w:after="0" w:afterAutospacing="0" w:line="276" w:lineRule="auto"/>
            </w:pPr>
            <w:r>
              <w:rPr>
                <w:rFonts w:ascii="Arial" w:hAnsi="Arial" w:cs="Arial"/>
                <w:color w:val="000000"/>
                <w:sz w:val="20"/>
                <w:szCs w:val="20"/>
              </w:rPr>
              <w:t xml:space="preserve">Typing of amyloid fibril protein by laser capture followed by mass spectrometry </w:t>
            </w:r>
            <w:proofErr w:type="gramStart"/>
            <w:r>
              <w:rPr>
                <w:rFonts w:ascii="Arial" w:hAnsi="Arial" w:cs="Arial"/>
                <w:color w:val="000000"/>
                <w:sz w:val="20"/>
                <w:szCs w:val="20"/>
              </w:rPr>
              <w:t>or</w:t>
            </w:r>
            <w:r>
              <w:rPr>
                <w:rFonts w:ascii="Arial" w:hAnsi="Arial" w:cs="Arial"/>
                <w:sz w:val="20"/>
                <w:szCs w:val="20"/>
              </w:rPr>
              <w:t>  immunohistochemistry</w:t>
            </w:r>
            <w:proofErr w:type="gramEnd"/>
            <w:r>
              <w:rPr>
                <w:rFonts w:ascii="Arial" w:hAnsi="Arial" w:cs="Arial"/>
                <w:sz w:val="20"/>
                <w:szCs w:val="20"/>
              </w:rPr>
              <w:t>/immunoelectron microscopy</w:t>
            </w:r>
          </w:p>
          <w:p w14:paraId="251DA795" w14:textId="77777777" w:rsidR="00613A7D" w:rsidRDefault="00613A7D" w:rsidP="003430D4">
            <w:pPr>
              <w:pStyle w:val="NormalWeb"/>
              <w:numPr>
                <w:ilvl w:val="0"/>
                <w:numId w:val="11"/>
              </w:numPr>
              <w:spacing w:before="0" w:beforeAutospacing="0" w:after="0" w:afterAutospacing="0" w:line="276" w:lineRule="auto"/>
            </w:pPr>
            <w:r>
              <w:rPr>
                <w:rFonts w:ascii="Arial" w:hAnsi="Arial" w:cs="Arial"/>
                <w:color w:val="000000"/>
                <w:sz w:val="20"/>
                <w:szCs w:val="20"/>
              </w:rPr>
              <w:t>Confirmation of organ involvement by imaging (echocardiography or cardiac magnetic resonance imaging for the heart)</w:t>
            </w:r>
          </w:p>
          <w:p w14:paraId="7DB2BF30" w14:textId="77777777" w:rsidR="00613A7D" w:rsidRDefault="00613A7D" w:rsidP="003430D4">
            <w:pPr>
              <w:pStyle w:val="NormalWeb"/>
              <w:numPr>
                <w:ilvl w:val="0"/>
                <w:numId w:val="12"/>
              </w:numPr>
              <w:spacing w:before="0" w:beforeAutospacing="0" w:after="0" w:afterAutospacing="0" w:line="276" w:lineRule="auto"/>
            </w:pPr>
            <w:r>
              <w:rPr>
                <w:rFonts w:ascii="Arial" w:hAnsi="Arial" w:cs="Arial"/>
                <w:color w:val="000000"/>
                <w:sz w:val="20"/>
                <w:szCs w:val="20"/>
              </w:rPr>
              <w:t>Mutation of one or more genes associated with hereditary amyloidosis if demonstration of light chain involvement is uncertain (especially when typing by mass spectrometry unavailable or inconclusive)</w:t>
            </w:r>
          </w:p>
        </w:tc>
      </w:tr>
      <w:tr w:rsidR="003E28EC" w14:paraId="12232E41" w14:textId="77777777" w:rsidTr="003430D4">
        <w:trPr>
          <w:divId w:val="420878868"/>
          <w:trHeight w:val="8903"/>
        </w:trPr>
        <w:tc>
          <w:tcPr>
            <w:tcW w:w="843" w:type="pct"/>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14:paraId="1BD9B55B" w14:textId="77777777" w:rsidR="00613A7D" w:rsidRDefault="00613A7D" w:rsidP="003430D4">
            <w:pPr>
              <w:pStyle w:val="NormalWeb"/>
              <w:spacing w:before="0" w:beforeAutospacing="0" w:after="0" w:afterAutospacing="0" w:line="276" w:lineRule="auto"/>
            </w:pPr>
            <w:r>
              <w:rPr>
                <w:rFonts w:ascii="Arial" w:hAnsi="Arial" w:cs="Arial"/>
                <w:color w:val="000000"/>
                <w:sz w:val="20"/>
                <w:szCs w:val="20"/>
              </w:rPr>
              <w:t>Monoclonal immunoglobulin deposition disease</w:t>
            </w:r>
          </w:p>
        </w:tc>
        <w:tc>
          <w:tcPr>
            <w:tcW w:w="1661" w:type="pct"/>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14:paraId="0A0F3270" w14:textId="77777777" w:rsidR="00613A7D" w:rsidRDefault="00613A7D" w:rsidP="003430D4">
            <w:pPr>
              <w:pStyle w:val="NormalWeb"/>
              <w:numPr>
                <w:ilvl w:val="0"/>
                <w:numId w:val="13"/>
              </w:numPr>
              <w:spacing w:before="0" w:beforeAutospacing="0" w:after="0" w:afterAutospacing="0" w:line="276" w:lineRule="auto"/>
            </w:pPr>
            <w:r>
              <w:rPr>
                <w:rFonts w:ascii="Arial" w:hAnsi="Arial" w:cs="Arial"/>
                <w:sz w:val="20"/>
                <w:szCs w:val="20"/>
              </w:rPr>
              <w:t>Demonstration of monoclonal immunoglobulin deposition in tissue.</w:t>
            </w:r>
          </w:p>
          <w:p w14:paraId="040EA604" w14:textId="77777777" w:rsidR="00613A7D" w:rsidRDefault="00613A7D" w:rsidP="003430D4">
            <w:pPr>
              <w:pStyle w:val="NormalWeb"/>
              <w:numPr>
                <w:ilvl w:val="0"/>
                <w:numId w:val="13"/>
              </w:numPr>
              <w:spacing w:before="0" w:beforeAutospacing="0" w:after="0" w:afterAutospacing="0" w:line="276" w:lineRule="auto"/>
            </w:pPr>
            <w:r>
              <w:rPr>
                <w:rFonts w:ascii="Arial" w:hAnsi="Arial" w:cs="Arial"/>
                <w:sz w:val="20"/>
                <w:szCs w:val="20"/>
              </w:rPr>
              <w:t>In the kidney, this should be demonstrated by immunohistochemistry and electron microscopy.</w:t>
            </w:r>
          </w:p>
          <w:p w14:paraId="4103AB30" w14:textId="77777777" w:rsidR="00613A7D" w:rsidRDefault="00613A7D" w:rsidP="003430D4">
            <w:pPr>
              <w:pStyle w:val="NormalWeb"/>
              <w:numPr>
                <w:ilvl w:val="0"/>
                <w:numId w:val="13"/>
              </w:numPr>
              <w:spacing w:before="0" w:beforeAutospacing="0" w:after="0" w:afterAutospacing="0" w:line="276" w:lineRule="auto"/>
            </w:pPr>
            <w:r>
              <w:rPr>
                <w:rFonts w:ascii="Arial" w:hAnsi="Arial" w:cs="Arial"/>
                <w:sz w:val="20"/>
                <w:szCs w:val="20"/>
              </w:rPr>
              <w:t>In cases where there is coexistence of light chain cast nephropathy, monoclonal immunoglobulin deposition disease may be demonstrated by immunohistochemistry only.</w:t>
            </w:r>
          </w:p>
          <w:p w14:paraId="44CB3212" w14:textId="76B32C98" w:rsidR="00613A7D" w:rsidRDefault="00613A7D" w:rsidP="003430D4">
            <w:pPr>
              <w:pStyle w:val="NormalWeb"/>
              <w:numPr>
                <w:ilvl w:val="0"/>
                <w:numId w:val="13"/>
              </w:numPr>
              <w:spacing w:before="0" w:beforeAutospacing="0" w:after="0" w:afterAutospacing="0" w:line="276" w:lineRule="auto"/>
            </w:pPr>
            <w:r>
              <w:rPr>
                <w:rFonts w:ascii="Arial" w:hAnsi="Arial" w:cs="Arial"/>
                <w:sz w:val="20"/>
                <w:szCs w:val="20"/>
              </w:rPr>
              <w:t>Diagnosis in other tissues relies on immunohistochemistry as electron microscopy is not commonly used. Besides light chain cast nephropathy, AL amyloidosis and light chain proximal tubulopathy have been found to coexist with monoclonal immunoglobulin deposition disease in the same kidney.</w:t>
            </w:r>
          </w:p>
        </w:tc>
        <w:tc>
          <w:tcPr>
            <w:tcW w:w="2496" w:type="pct"/>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14:paraId="424CAA04" w14:textId="77777777" w:rsidR="00613A7D" w:rsidRDefault="00613A7D" w:rsidP="003430D4">
            <w:pPr>
              <w:spacing w:after="0" w:line="276" w:lineRule="auto"/>
            </w:pPr>
          </w:p>
        </w:tc>
      </w:tr>
      <w:tr w:rsidR="003E28EC" w14:paraId="0154E93F" w14:textId="77777777" w:rsidTr="003430D4">
        <w:trPr>
          <w:divId w:val="420878868"/>
          <w:trHeight w:val="278"/>
        </w:trPr>
        <w:tc>
          <w:tcPr>
            <w:tcW w:w="84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B21C13" w14:textId="77777777" w:rsidR="00613A7D" w:rsidRDefault="00613A7D" w:rsidP="003430D4">
            <w:pPr>
              <w:pStyle w:val="NormalWeb"/>
              <w:spacing w:before="0" w:beforeAutospacing="0" w:after="0" w:afterAutospacing="0" w:line="276" w:lineRule="auto"/>
            </w:pPr>
            <w:r>
              <w:t> </w:t>
            </w:r>
          </w:p>
        </w:tc>
        <w:tc>
          <w:tcPr>
            <w:tcW w:w="1661"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EBE20A" w14:textId="77777777" w:rsidR="00613A7D" w:rsidRDefault="00613A7D" w:rsidP="003430D4">
            <w:pPr>
              <w:spacing w:after="0" w:line="276" w:lineRule="auto"/>
            </w:pPr>
          </w:p>
        </w:tc>
        <w:tc>
          <w:tcPr>
            <w:tcW w:w="249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4B6B01" w14:textId="77777777" w:rsidR="00613A7D" w:rsidRDefault="00613A7D" w:rsidP="003430D4">
            <w:pPr>
              <w:pStyle w:val="NormalWeb"/>
              <w:spacing w:before="0" w:beforeAutospacing="0" w:after="0" w:afterAutospacing="0" w:line="276" w:lineRule="auto"/>
            </w:pPr>
            <w:r>
              <w:t> </w:t>
            </w:r>
          </w:p>
        </w:tc>
      </w:tr>
    </w:tbl>
    <w:p w14:paraId="3184CE4F" w14:textId="77777777" w:rsidR="00613A7D" w:rsidRDefault="00613A7D" w:rsidP="003430D4">
      <w:pPr>
        <w:pStyle w:val="NormalWeb"/>
        <w:spacing w:before="0" w:beforeAutospacing="0" w:after="0" w:afterAutospacing="0" w:line="276" w:lineRule="auto"/>
        <w:divId w:val="420878868"/>
        <w:rPr>
          <w:lang w:val="en"/>
        </w:rPr>
      </w:pPr>
      <w:r>
        <w:rPr>
          <w:lang w:val="en"/>
        </w:rPr>
        <w:t> </w:t>
      </w:r>
    </w:p>
    <w:p w14:paraId="4EEB7DEC" w14:textId="599E7F61" w:rsidR="00613A7D" w:rsidRDefault="00613A7D" w:rsidP="003430D4">
      <w:pPr>
        <w:pStyle w:val="NormalWeb"/>
        <w:spacing w:before="0" w:beforeAutospacing="0" w:after="0" w:afterAutospacing="0" w:line="276" w:lineRule="auto"/>
        <w:divId w:val="420878868"/>
        <w:rPr>
          <w:lang w:val="en"/>
        </w:rPr>
      </w:pPr>
      <w:r>
        <w:rPr>
          <w:rFonts w:ascii="Arial" w:hAnsi="Arial" w:cs="Arial"/>
          <w:b/>
          <w:bCs/>
          <w:sz w:val="20"/>
          <w:szCs w:val="20"/>
          <w:u w:val="single"/>
          <w:lang w:val="en"/>
        </w:rPr>
        <w:t>Heavy Chain Disease</w:t>
      </w:r>
      <w:r>
        <w:rPr>
          <w:lang w:val="en"/>
        </w:rPr>
        <w:br/>
      </w:r>
      <w:r>
        <w:rPr>
          <w:lang w:val="en"/>
        </w:rPr>
        <w:br/>
      </w:r>
      <w:r>
        <w:rPr>
          <w:rFonts w:ascii="Arial" w:hAnsi="Arial" w:cs="Arial"/>
          <w:sz w:val="20"/>
          <w:szCs w:val="20"/>
          <w:lang w:val="en"/>
        </w:rPr>
        <w:t>Heavy chain diseases are rare B-cell neoplasms characterized by the production of an abnormally truncated monotypic immunoglobulin heavy chain without associated light chain production. Mutations in heavy chain result in lack of assembly of intact immunoglobulin and prevent normal degradation.</w:t>
      </w:r>
      <w:hyperlink w:anchor="R69266" w:tgtFrame="_top" w:tooltip="Wahner-Roedler DL, Kyle RA. Heavy chain diseases. &amp;lt;em&amp;gt;Best Pract Res Clin Haematol. &amp;lt;/em&amp;gt;2005;18(4):729-46. doi: 10.1016/j.beha.2005.01.029. PMID: 16026747." w:history="1">
        <w:r>
          <w:rPr>
            <w:rStyle w:val="Hyperlink"/>
            <w:vertAlign w:val="superscript"/>
            <w:lang w:val="en"/>
          </w:rPr>
          <w:t>7</w:t>
        </w:r>
      </w:hyperlink>
      <w:r>
        <w:rPr>
          <w:rFonts w:ascii="Arial" w:hAnsi="Arial" w:cs="Arial"/>
          <w:sz w:val="20"/>
          <w:szCs w:val="20"/>
          <w:lang w:val="en"/>
        </w:rPr>
        <w:t xml:space="preserve"> The </w:t>
      </w:r>
      <w:r>
        <w:rPr>
          <w:rFonts w:ascii="Arial" w:hAnsi="Arial" w:cs="Arial"/>
          <w:sz w:val="20"/>
          <w:szCs w:val="20"/>
          <w:lang w:val="en"/>
        </w:rPr>
        <w:lastRenderedPageBreak/>
        <w:t>three types are mu, gamma, and alpha, and while similar to other B-cell lymphomas (mu-CLL, gamma-lymphoplasmacytic lymphoma, MALT, alpha-variant of MALT lymphoma), they are considered distinct entities.</w:t>
      </w:r>
    </w:p>
    <w:p w14:paraId="3B4AA82E" w14:textId="77777777" w:rsidR="00613A7D" w:rsidRDefault="00613A7D" w:rsidP="003430D4">
      <w:pPr>
        <w:pStyle w:val="NormalWeb"/>
        <w:spacing w:before="0" w:beforeAutospacing="0" w:after="0" w:afterAutospacing="0" w:line="276" w:lineRule="auto"/>
        <w:divId w:val="420878868"/>
        <w:rPr>
          <w:lang w:val="en"/>
        </w:rPr>
      </w:pPr>
      <w:r>
        <w:rPr>
          <w:rFonts w:ascii="Arial" w:hAnsi="Arial" w:cs="Arial"/>
          <w:sz w:val="20"/>
          <w:szCs w:val="20"/>
          <w:lang w:val="en"/>
        </w:rPr>
        <w:t>Mu heavy chain disease is a very rare B-cell neoplasm morphologically composed of vacuolated plasma cells and small round lymphocytes resembling chronic lymphocytic leukemia (CLL) with secretion of a defective mu heavy chain (IgM); spleen, liver, nodal, and bone marrow disease may be present in that order of frequency. Lytic bone lesions may be present.</w:t>
      </w:r>
      <w:r>
        <w:rPr>
          <w:lang w:val="en"/>
        </w:rPr>
        <w:br/>
      </w:r>
      <w:r>
        <w:rPr>
          <w:lang w:val="en"/>
        </w:rPr>
        <w:br/>
      </w:r>
      <w:r>
        <w:rPr>
          <w:rFonts w:ascii="Arial" w:hAnsi="Arial" w:cs="Arial"/>
          <w:sz w:val="20"/>
          <w:szCs w:val="20"/>
          <w:lang w:val="en"/>
        </w:rPr>
        <w:t>Gamma heavy chain disease is more morphologically heterogeneous and may resemble lymphoplasmacytic lymphoma or marginal zone lymphoma; lymph node, bone marrow, and extranodal involvement may occur. Underlying autoimmune disease may be present in some patients. </w:t>
      </w:r>
      <w:r>
        <w:rPr>
          <w:lang w:val="en"/>
        </w:rPr>
        <w:br/>
      </w:r>
      <w:r>
        <w:rPr>
          <w:lang w:val="en"/>
        </w:rPr>
        <w:br/>
      </w:r>
      <w:r>
        <w:rPr>
          <w:rFonts w:ascii="Arial" w:hAnsi="Arial" w:cs="Arial"/>
          <w:sz w:val="20"/>
          <w:szCs w:val="20"/>
          <w:lang w:val="en"/>
        </w:rPr>
        <w:t xml:space="preserve">Alpha heavy chain disease is a variant of extranodal marginal zone lymphoma typically involving the gastrointestinal tract that presents clinically with chronic watery diarrhea. It is thought to be related to </w:t>
      </w:r>
      <w:proofErr w:type="gramStart"/>
      <w:r>
        <w:rPr>
          <w:rFonts w:ascii="Arial" w:hAnsi="Arial" w:cs="Arial"/>
          <w:sz w:val="20"/>
          <w:szCs w:val="20"/>
          <w:lang w:val="en"/>
        </w:rPr>
        <w:t>inability</w:t>
      </w:r>
      <w:proofErr w:type="gramEnd"/>
      <w:r>
        <w:rPr>
          <w:rFonts w:ascii="Arial" w:hAnsi="Arial" w:cs="Arial"/>
          <w:sz w:val="20"/>
          <w:szCs w:val="20"/>
          <w:lang w:val="en"/>
        </w:rPr>
        <w:t xml:space="preserve"> to clear certain infections such as Campylobacter </w:t>
      </w:r>
      <w:proofErr w:type="spellStart"/>
      <w:r>
        <w:rPr>
          <w:rFonts w:ascii="Arial" w:hAnsi="Arial" w:cs="Arial"/>
          <w:sz w:val="20"/>
          <w:szCs w:val="20"/>
          <w:lang w:val="en"/>
        </w:rPr>
        <w:t>jejuni</w:t>
      </w:r>
      <w:proofErr w:type="spellEnd"/>
      <w:r>
        <w:rPr>
          <w:rFonts w:ascii="Arial" w:hAnsi="Arial" w:cs="Arial"/>
          <w:sz w:val="20"/>
          <w:szCs w:val="20"/>
          <w:lang w:val="en"/>
        </w:rPr>
        <w:t xml:space="preserve"> and has higher prevalence in Mediterranean countries.</w:t>
      </w:r>
      <w:r>
        <w:rPr>
          <w:lang w:val="en"/>
        </w:rPr>
        <w:br/>
      </w:r>
      <w:r>
        <w:rPr>
          <w:lang w:val="en"/>
        </w:rPr>
        <w:br/>
      </w:r>
      <w:r>
        <w:rPr>
          <w:rFonts w:ascii="Arial" w:hAnsi="Arial" w:cs="Arial"/>
          <w:sz w:val="20"/>
          <w:szCs w:val="20"/>
          <w:lang w:val="en"/>
        </w:rPr>
        <w:t>Salient diagnostic features are summarized in Table 3. </w:t>
      </w:r>
    </w:p>
    <w:p w14:paraId="3A22BBFC" w14:textId="77777777" w:rsidR="00613A7D" w:rsidRDefault="00613A7D" w:rsidP="003430D4">
      <w:pPr>
        <w:pStyle w:val="NormalWeb"/>
        <w:spacing w:before="0" w:beforeAutospacing="0" w:after="0" w:afterAutospacing="0" w:line="276" w:lineRule="auto"/>
        <w:divId w:val="420878868"/>
        <w:rPr>
          <w:lang w:val="en"/>
        </w:rPr>
      </w:pPr>
      <w:r>
        <w:rPr>
          <w:lang w:val="en"/>
        </w:rPr>
        <w:t> </w:t>
      </w:r>
    </w:p>
    <w:p w14:paraId="61929321" w14:textId="77777777" w:rsidR="00613A7D" w:rsidRDefault="00613A7D" w:rsidP="003430D4">
      <w:pPr>
        <w:pStyle w:val="NormalWeb"/>
        <w:spacing w:before="0" w:beforeAutospacing="0" w:after="0" w:afterAutospacing="0" w:line="276" w:lineRule="auto"/>
        <w:divId w:val="420878868"/>
        <w:rPr>
          <w:lang w:val="en"/>
        </w:rPr>
      </w:pPr>
      <w:r>
        <w:rPr>
          <w:rFonts w:ascii="Arial" w:hAnsi="Arial" w:cs="Arial"/>
          <w:b/>
          <w:bCs/>
          <w:sz w:val="20"/>
          <w:szCs w:val="20"/>
          <w:lang w:val="en"/>
        </w:rPr>
        <w:t>TABLE 3. SUMMARY OF DIAGNOSTIC CRITERIA FOR HEAVY CHAIN DISEASES</w:t>
      </w:r>
      <w:hyperlink w:anchor="R69260" w:tgtFrame="_top" w:tooltip="WHO Classification of Tumours Editorial Board. &amp;lt;em&amp;gt;Haematolymphoid tumours &amp;lt;/em&amp;gt;[Internet; beta version ahead of print]. Lyon (France): International Agency for Research on Cancer; 2022 [cited 2023 06 13]. (WHO classification of tumours series, 5th" w:history="1">
        <w:r>
          <w:rPr>
            <w:rStyle w:val="Hyperlink"/>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2043"/>
        <w:gridCol w:w="4685"/>
        <w:gridCol w:w="2848"/>
      </w:tblGrid>
      <w:tr w:rsidR="003E28EC" w14:paraId="19E077BC" w14:textId="77777777" w:rsidTr="003430D4">
        <w:trPr>
          <w:divId w:val="420878868"/>
        </w:trPr>
        <w:tc>
          <w:tcPr>
            <w:tcW w:w="1067"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4F2337FF" w14:textId="77777777" w:rsidR="00613A7D" w:rsidRDefault="00613A7D" w:rsidP="003430D4">
            <w:pPr>
              <w:pStyle w:val="NormalWeb"/>
              <w:spacing w:before="0" w:beforeAutospacing="0" w:after="0" w:afterAutospacing="0" w:line="276" w:lineRule="auto"/>
            </w:pPr>
            <w:r>
              <w:rPr>
                <w:rFonts w:ascii="Arial" w:hAnsi="Arial" w:cs="Arial"/>
                <w:b/>
                <w:bCs/>
                <w:color w:val="000000"/>
                <w:sz w:val="20"/>
                <w:szCs w:val="20"/>
              </w:rPr>
              <w:t>Subtype</w:t>
            </w:r>
          </w:p>
        </w:tc>
        <w:tc>
          <w:tcPr>
            <w:tcW w:w="2446"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52817C4" w14:textId="77777777" w:rsidR="00613A7D" w:rsidRDefault="00613A7D" w:rsidP="003430D4">
            <w:pPr>
              <w:pStyle w:val="NormalWeb"/>
              <w:spacing w:before="0" w:beforeAutospacing="0" w:after="0" w:afterAutospacing="0" w:line="276" w:lineRule="auto"/>
            </w:pPr>
            <w:r>
              <w:rPr>
                <w:rFonts w:ascii="Arial" w:hAnsi="Arial" w:cs="Arial"/>
                <w:b/>
                <w:bCs/>
                <w:color w:val="000000"/>
                <w:sz w:val="20"/>
                <w:szCs w:val="20"/>
              </w:rPr>
              <w:t>Essential diagnostic criteria</w:t>
            </w:r>
          </w:p>
        </w:tc>
        <w:tc>
          <w:tcPr>
            <w:tcW w:w="1487"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3E2483C8" w14:textId="77777777" w:rsidR="00613A7D" w:rsidRDefault="00613A7D" w:rsidP="003430D4">
            <w:pPr>
              <w:pStyle w:val="NormalWeb"/>
              <w:spacing w:before="0" w:beforeAutospacing="0" w:after="0" w:afterAutospacing="0" w:line="276" w:lineRule="auto"/>
            </w:pPr>
            <w:r>
              <w:rPr>
                <w:rFonts w:ascii="Arial" w:hAnsi="Arial" w:cs="Arial"/>
                <w:b/>
                <w:bCs/>
                <w:color w:val="000000"/>
                <w:sz w:val="20"/>
                <w:szCs w:val="20"/>
              </w:rPr>
              <w:t>Desirable diagnostic criteria/ Notes</w:t>
            </w:r>
          </w:p>
        </w:tc>
      </w:tr>
      <w:tr w:rsidR="003E28EC" w14:paraId="4ECE8BCD" w14:textId="77777777" w:rsidTr="003430D4">
        <w:trPr>
          <w:divId w:val="420878868"/>
        </w:trPr>
        <w:tc>
          <w:tcPr>
            <w:tcW w:w="10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5E263C" w14:textId="77777777" w:rsidR="00613A7D" w:rsidRDefault="00613A7D" w:rsidP="003430D4">
            <w:pPr>
              <w:pStyle w:val="NormalWeb"/>
              <w:spacing w:before="0" w:beforeAutospacing="0" w:after="0" w:afterAutospacing="0" w:line="276" w:lineRule="auto"/>
            </w:pPr>
            <w:r>
              <w:rPr>
                <w:rFonts w:ascii="Arial" w:hAnsi="Arial" w:cs="Arial"/>
                <w:color w:val="000000"/>
                <w:sz w:val="20"/>
                <w:szCs w:val="20"/>
              </w:rPr>
              <w:t>Mu heavy chain disease (HCD)</w:t>
            </w:r>
          </w:p>
        </w:tc>
        <w:tc>
          <w:tcPr>
            <w:tcW w:w="244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EDBBD0" w14:textId="77777777" w:rsidR="00613A7D" w:rsidRDefault="00613A7D" w:rsidP="003430D4">
            <w:pPr>
              <w:pStyle w:val="NormalWeb"/>
              <w:spacing w:before="0" w:beforeAutospacing="0" w:after="0" w:afterAutospacing="0" w:line="276" w:lineRule="auto"/>
              <w:ind w:left="450" w:hanging="360"/>
            </w:pPr>
            <w:r>
              <w:rPr>
                <w:rFonts w:ascii="Arial" w:hAnsi="Arial" w:cs="Arial"/>
                <w:sz w:val="20"/>
                <w:szCs w:val="20"/>
              </w:rPr>
              <w:t>·      Serum immunofixation demonstrating anti-mu reactivity without associated light chain</w:t>
            </w:r>
          </w:p>
          <w:p w14:paraId="044B099C" w14:textId="77777777" w:rsidR="00613A7D" w:rsidRDefault="00613A7D" w:rsidP="003430D4">
            <w:pPr>
              <w:pStyle w:val="NormalWeb"/>
              <w:spacing w:before="0" w:beforeAutospacing="0" w:after="0" w:afterAutospacing="0" w:line="276" w:lineRule="auto"/>
              <w:ind w:left="450" w:hanging="360"/>
            </w:pPr>
            <w:r>
              <w:rPr>
                <w:rFonts w:ascii="Arial" w:hAnsi="Arial" w:cs="Arial"/>
                <w:sz w:val="20"/>
                <w:szCs w:val="20"/>
              </w:rPr>
              <w:t>·      Bone marrow or tissue involvement by small round lymphocytes and vacuolated plasma cells</w:t>
            </w:r>
          </w:p>
        </w:tc>
        <w:tc>
          <w:tcPr>
            <w:tcW w:w="148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BC607D" w14:textId="77777777" w:rsidR="00613A7D" w:rsidRDefault="00613A7D" w:rsidP="003430D4">
            <w:pPr>
              <w:pStyle w:val="NormalWeb"/>
              <w:numPr>
                <w:ilvl w:val="0"/>
                <w:numId w:val="14"/>
              </w:numPr>
              <w:spacing w:before="0" w:beforeAutospacing="0" w:after="0" w:afterAutospacing="0" w:line="276" w:lineRule="auto"/>
            </w:pPr>
            <w:r>
              <w:rPr>
                <w:rFonts w:ascii="Arial" w:hAnsi="Arial" w:cs="Arial"/>
                <w:color w:val="000000"/>
                <w:sz w:val="20"/>
                <w:szCs w:val="20"/>
              </w:rPr>
              <w:t>Frequent kappa Bence Jones proteinuria; B-cells with cytoplasmic IgM staining that are negative for light chains</w:t>
            </w:r>
            <w:r>
              <w:rPr>
                <w:rFonts w:ascii="Arial" w:hAnsi="Arial" w:cs="Arial"/>
                <w:sz w:val="20"/>
                <w:szCs w:val="20"/>
              </w:rPr>
              <w:t>  </w:t>
            </w:r>
          </w:p>
        </w:tc>
      </w:tr>
      <w:tr w:rsidR="003E28EC" w14:paraId="02562C19" w14:textId="77777777" w:rsidTr="003430D4">
        <w:trPr>
          <w:divId w:val="420878868"/>
        </w:trPr>
        <w:tc>
          <w:tcPr>
            <w:tcW w:w="10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D622FE" w14:textId="77777777" w:rsidR="00613A7D" w:rsidRDefault="00613A7D" w:rsidP="003430D4">
            <w:pPr>
              <w:pStyle w:val="NormalWeb"/>
              <w:spacing w:before="0" w:beforeAutospacing="0" w:after="0" w:afterAutospacing="0" w:line="276" w:lineRule="auto"/>
            </w:pPr>
            <w:r>
              <w:rPr>
                <w:rFonts w:ascii="Arial" w:hAnsi="Arial" w:cs="Arial"/>
                <w:color w:val="000000"/>
                <w:sz w:val="20"/>
                <w:szCs w:val="20"/>
              </w:rPr>
              <w:t>Gamma heavy chain disease (HCD)</w:t>
            </w:r>
          </w:p>
        </w:tc>
        <w:tc>
          <w:tcPr>
            <w:tcW w:w="244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095D38" w14:textId="77777777" w:rsidR="00613A7D" w:rsidRDefault="00613A7D" w:rsidP="003430D4">
            <w:pPr>
              <w:pStyle w:val="NormalWeb"/>
              <w:spacing w:before="0" w:beforeAutospacing="0" w:after="0" w:afterAutospacing="0" w:line="276" w:lineRule="auto"/>
              <w:ind w:left="450" w:hanging="360"/>
            </w:pPr>
            <w:r>
              <w:rPr>
                <w:rFonts w:ascii="Arial" w:hAnsi="Arial" w:cs="Arial"/>
                <w:sz w:val="20"/>
                <w:szCs w:val="20"/>
              </w:rPr>
              <w:t>·      Serum or urine immunofixation electrophoresis demonstrating gamma monoclonal band without associated light chain; may be only manifestation in patients with autoimmune disease</w:t>
            </w:r>
          </w:p>
        </w:tc>
        <w:tc>
          <w:tcPr>
            <w:tcW w:w="148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49D2E2" w14:textId="77777777" w:rsidR="00613A7D" w:rsidRDefault="00613A7D" w:rsidP="003430D4">
            <w:pPr>
              <w:pStyle w:val="NormalWeb"/>
              <w:numPr>
                <w:ilvl w:val="0"/>
                <w:numId w:val="15"/>
              </w:numPr>
              <w:spacing w:before="0" w:beforeAutospacing="0" w:after="0" w:afterAutospacing="0" w:line="276" w:lineRule="auto"/>
            </w:pPr>
            <w:r>
              <w:rPr>
                <w:rFonts w:ascii="Arial" w:hAnsi="Arial" w:cs="Arial"/>
                <w:color w:val="000000"/>
                <w:sz w:val="20"/>
                <w:szCs w:val="20"/>
              </w:rPr>
              <w:t>FNA or tissue biopsy demonstrating atypical lymphoplasmacytic proliferation expressing IgG without light chains</w:t>
            </w:r>
          </w:p>
          <w:p w14:paraId="1B2C0205" w14:textId="77777777" w:rsidR="00613A7D" w:rsidRDefault="00613A7D" w:rsidP="003430D4">
            <w:pPr>
              <w:pStyle w:val="NormalWeb"/>
              <w:numPr>
                <w:ilvl w:val="0"/>
                <w:numId w:val="16"/>
              </w:numPr>
              <w:spacing w:before="0" w:beforeAutospacing="0" w:after="0" w:afterAutospacing="0" w:line="276" w:lineRule="auto"/>
            </w:pPr>
            <w:r>
              <w:rPr>
                <w:rFonts w:ascii="Arial" w:hAnsi="Arial" w:cs="Arial"/>
                <w:color w:val="000000"/>
                <w:sz w:val="20"/>
                <w:szCs w:val="20"/>
              </w:rPr>
              <w:t xml:space="preserve">MYD88 </w:t>
            </w:r>
            <w:proofErr w:type="gramStart"/>
            <w:r>
              <w:rPr>
                <w:rFonts w:ascii="Arial" w:hAnsi="Arial" w:cs="Arial"/>
                <w:color w:val="000000"/>
                <w:sz w:val="20"/>
                <w:szCs w:val="20"/>
              </w:rPr>
              <w:t>wild-type</w:t>
            </w:r>
            <w:proofErr w:type="gramEnd"/>
          </w:p>
        </w:tc>
      </w:tr>
      <w:tr w:rsidR="003E28EC" w14:paraId="5C6DC55E" w14:textId="77777777" w:rsidTr="003430D4">
        <w:trPr>
          <w:divId w:val="420878868"/>
        </w:trPr>
        <w:tc>
          <w:tcPr>
            <w:tcW w:w="10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E669FD" w14:textId="77777777" w:rsidR="00613A7D" w:rsidRDefault="00613A7D" w:rsidP="003430D4">
            <w:pPr>
              <w:pStyle w:val="NormalWeb"/>
              <w:spacing w:before="0" w:beforeAutospacing="0" w:after="0" w:afterAutospacing="0" w:line="276" w:lineRule="auto"/>
            </w:pPr>
            <w:r>
              <w:rPr>
                <w:rFonts w:ascii="Arial" w:hAnsi="Arial" w:cs="Arial"/>
                <w:color w:val="000000"/>
                <w:sz w:val="20"/>
                <w:szCs w:val="20"/>
              </w:rPr>
              <w:t>Alpha heavy chain disease (HCD)</w:t>
            </w:r>
          </w:p>
        </w:tc>
        <w:tc>
          <w:tcPr>
            <w:tcW w:w="244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7CDD84" w14:textId="77777777" w:rsidR="00613A7D" w:rsidRDefault="00613A7D" w:rsidP="003430D4">
            <w:pPr>
              <w:pStyle w:val="NormalWeb"/>
              <w:spacing w:before="0" w:beforeAutospacing="0" w:after="0" w:afterAutospacing="0" w:line="276" w:lineRule="auto"/>
              <w:ind w:left="450" w:hanging="360"/>
            </w:pPr>
            <w:r>
              <w:rPr>
                <w:rFonts w:ascii="Arial" w:hAnsi="Arial" w:cs="Arial"/>
                <w:sz w:val="20"/>
                <w:szCs w:val="20"/>
              </w:rPr>
              <w:t xml:space="preserve">·      Tissue biopsy with features of extranodal marginal zone lymphoma with extensive </w:t>
            </w:r>
            <w:proofErr w:type="spellStart"/>
            <w:r>
              <w:rPr>
                <w:rFonts w:ascii="Arial" w:hAnsi="Arial" w:cs="Arial"/>
                <w:sz w:val="20"/>
                <w:szCs w:val="20"/>
              </w:rPr>
              <w:t>plasmacytic</w:t>
            </w:r>
            <w:proofErr w:type="spellEnd"/>
            <w:r>
              <w:rPr>
                <w:rFonts w:ascii="Arial" w:hAnsi="Arial" w:cs="Arial"/>
                <w:sz w:val="20"/>
                <w:szCs w:val="20"/>
              </w:rPr>
              <w:t xml:space="preserve"> differentiation expressing IgA without light chains</w:t>
            </w:r>
          </w:p>
          <w:p w14:paraId="594AC9D3" w14:textId="77777777" w:rsidR="00613A7D" w:rsidRDefault="00613A7D" w:rsidP="003430D4">
            <w:pPr>
              <w:pStyle w:val="NormalWeb"/>
              <w:spacing w:before="0" w:beforeAutospacing="0" w:after="0" w:afterAutospacing="0" w:line="276" w:lineRule="auto"/>
              <w:ind w:left="450" w:hanging="360"/>
            </w:pPr>
            <w:r>
              <w:rPr>
                <w:rFonts w:ascii="Arial" w:hAnsi="Arial" w:cs="Arial"/>
                <w:sz w:val="20"/>
                <w:szCs w:val="20"/>
              </w:rPr>
              <w:t> </w:t>
            </w:r>
          </w:p>
        </w:tc>
        <w:tc>
          <w:tcPr>
            <w:tcW w:w="148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2D7853" w14:textId="77777777" w:rsidR="00613A7D" w:rsidRDefault="00613A7D" w:rsidP="003430D4">
            <w:pPr>
              <w:pStyle w:val="NormalWeb"/>
              <w:numPr>
                <w:ilvl w:val="0"/>
                <w:numId w:val="17"/>
              </w:numPr>
              <w:spacing w:before="0" w:beforeAutospacing="0" w:after="0" w:afterAutospacing="0" w:line="276" w:lineRule="auto"/>
            </w:pPr>
            <w:r>
              <w:rPr>
                <w:rFonts w:ascii="Arial" w:hAnsi="Arial" w:cs="Arial"/>
                <w:color w:val="000000"/>
                <w:sz w:val="20"/>
                <w:szCs w:val="20"/>
              </w:rPr>
              <w:t>Serum immunofixation demonstrating anti-alpha reactivity without associated light chain</w:t>
            </w:r>
          </w:p>
        </w:tc>
      </w:tr>
    </w:tbl>
    <w:p w14:paraId="7A399058" w14:textId="77777777" w:rsidR="00613A7D" w:rsidRDefault="00613A7D" w:rsidP="003430D4">
      <w:pPr>
        <w:pStyle w:val="NormalWeb"/>
        <w:spacing w:before="0" w:beforeAutospacing="0" w:after="0" w:afterAutospacing="0" w:line="276" w:lineRule="auto"/>
        <w:divId w:val="420878868"/>
        <w:rPr>
          <w:lang w:val="en"/>
        </w:rPr>
      </w:pPr>
    </w:p>
    <w:p w14:paraId="0D638113" w14:textId="77777777" w:rsidR="00613A7D" w:rsidRDefault="00613A7D" w:rsidP="003430D4">
      <w:pPr>
        <w:spacing w:after="0" w:line="276" w:lineRule="auto"/>
        <w:divId w:val="74863249"/>
        <w:rPr>
          <w:rFonts w:ascii="Arial" w:eastAsia="Times New Roman" w:hAnsi="Arial" w:cs="Arial"/>
          <w:sz w:val="20"/>
          <w:szCs w:val="20"/>
          <w:lang w:val="en"/>
        </w:rPr>
      </w:pPr>
      <w:r>
        <w:rPr>
          <w:rFonts w:ascii="Arial" w:eastAsia="Times New Roman" w:hAnsi="Arial" w:cs="Arial"/>
          <w:sz w:val="20"/>
          <w:szCs w:val="20"/>
          <w:lang w:val="en"/>
        </w:rPr>
        <w:t>References</w:t>
      </w:r>
    </w:p>
    <w:p w14:paraId="3D5B682E" w14:textId="77777777" w:rsidR="00613A7D" w:rsidRDefault="00613A7D" w:rsidP="003430D4">
      <w:pPr>
        <w:numPr>
          <w:ilvl w:val="0"/>
          <w:numId w:val="18"/>
        </w:numPr>
        <w:spacing w:after="0" w:line="276" w:lineRule="auto"/>
        <w:divId w:val="175777914"/>
        <w:rPr>
          <w:rFonts w:ascii="Arial" w:eastAsia="Times New Roman" w:hAnsi="Arial" w:cs="Arial"/>
          <w:sz w:val="20"/>
          <w:szCs w:val="20"/>
          <w:lang w:val="en"/>
        </w:rPr>
      </w:pPr>
      <w:bookmarkStart w:id="2" w:name="R69260"/>
      <w:r>
        <w:rPr>
          <w:rFonts w:ascii="Arial" w:eastAsia="Times New Roman" w:hAnsi="Arial" w:cs="Arial"/>
          <w:sz w:val="20"/>
          <w:szCs w:val="20"/>
          <w:lang w:val="en"/>
        </w:rPr>
        <w:t xml:space="preserve">WHO Classification of </w:t>
      </w:r>
      <w:proofErr w:type="spellStart"/>
      <w:r>
        <w:rPr>
          <w:rFonts w:ascii="Arial" w:eastAsia="Times New Roman" w:hAnsi="Arial" w:cs="Arial"/>
          <w:sz w:val="20"/>
          <w:szCs w:val="20"/>
          <w:lang w:val="en"/>
        </w:rPr>
        <w:t>Tumours</w:t>
      </w:r>
      <w:proofErr w:type="spellEnd"/>
      <w:r>
        <w:rPr>
          <w:rFonts w:ascii="Arial" w:eastAsia="Times New Roman" w:hAnsi="Arial" w:cs="Arial"/>
          <w:sz w:val="20"/>
          <w:szCs w:val="20"/>
          <w:lang w:val="en"/>
        </w:rPr>
        <w:t xml:space="preserve"> Editorial Board. </w:t>
      </w:r>
      <w:proofErr w:type="spellStart"/>
      <w:r>
        <w:rPr>
          <w:rStyle w:val="Emphasis"/>
          <w:rFonts w:ascii="Arial" w:eastAsia="Times New Roman" w:hAnsi="Arial" w:cs="Arial"/>
          <w:sz w:val="20"/>
          <w:szCs w:val="20"/>
          <w:lang w:val="en"/>
        </w:rPr>
        <w:t>Haematolymphoid</w:t>
      </w:r>
      <w:proofErr w:type="spellEnd"/>
      <w:r>
        <w:rPr>
          <w:rStyle w:val="Emphasis"/>
          <w:rFonts w:ascii="Arial" w:eastAsia="Times New Roman" w:hAnsi="Arial" w:cs="Arial"/>
          <w:sz w:val="20"/>
          <w:szCs w:val="20"/>
          <w:lang w:val="en"/>
        </w:rPr>
        <w:t xml:space="preserve"> </w:t>
      </w:r>
      <w:proofErr w:type="spellStart"/>
      <w:r>
        <w:rPr>
          <w:rStyle w:val="Emphasis"/>
          <w:rFonts w:ascii="Arial" w:eastAsia="Times New Roman" w:hAnsi="Arial" w:cs="Arial"/>
          <w:sz w:val="20"/>
          <w:szCs w:val="20"/>
          <w:lang w:val="en"/>
        </w:rPr>
        <w:t>tumours</w:t>
      </w:r>
      <w:proofErr w:type="spellEnd"/>
      <w:r>
        <w:rPr>
          <w:rStyle w:val="Emphasis"/>
          <w:rFonts w:ascii="Arial" w:eastAsia="Times New Roman" w:hAnsi="Arial" w:cs="Arial"/>
          <w:sz w:val="20"/>
          <w:szCs w:val="20"/>
          <w:lang w:val="en"/>
        </w:rPr>
        <w:t xml:space="preserve"> </w:t>
      </w:r>
      <w:r>
        <w:rPr>
          <w:rFonts w:ascii="Arial" w:eastAsia="Times New Roman" w:hAnsi="Arial" w:cs="Arial"/>
          <w:sz w:val="20"/>
          <w:szCs w:val="20"/>
          <w:lang w:val="en"/>
        </w:rPr>
        <w:t xml:space="preserve">[Internet; beta version ahead of print]. Lyon (France): International Agency for Research on Cancer; 2022 [cited 2023 06 13]. (WHO classification of </w:t>
      </w:r>
      <w:proofErr w:type="spellStart"/>
      <w:r>
        <w:rPr>
          <w:rFonts w:ascii="Arial" w:eastAsia="Times New Roman" w:hAnsi="Arial" w:cs="Arial"/>
          <w:sz w:val="20"/>
          <w:szCs w:val="20"/>
          <w:lang w:val="en"/>
        </w:rPr>
        <w:t>tumours</w:t>
      </w:r>
      <w:proofErr w:type="spellEnd"/>
      <w:r>
        <w:rPr>
          <w:rFonts w:ascii="Arial" w:eastAsia="Times New Roman" w:hAnsi="Arial" w:cs="Arial"/>
          <w:sz w:val="20"/>
          <w:szCs w:val="20"/>
          <w:lang w:val="en"/>
        </w:rPr>
        <w:t xml:space="preserve"> series, 5th ed.; vol. 11). Available from: https://tumourclassification.iarc.who.int/chapters/63.</w:t>
      </w:r>
      <w:bookmarkEnd w:id="2"/>
    </w:p>
    <w:p w14:paraId="76B881FA" w14:textId="77777777" w:rsidR="00613A7D" w:rsidRDefault="00613A7D" w:rsidP="003430D4">
      <w:pPr>
        <w:numPr>
          <w:ilvl w:val="0"/>
          <w:numId w:val="18"/>
        </w:numPr>
        <w:spacing w:after="0" w:line="276" w:lineRule="auto"/>
        <w:divId w:val="175777914"/>
        <w:rPr>
          <w:rFonts w:ascii="Arial" w:eastAsia="Times New Roman" w:hAnsi="Arial" w:cs="Arial"/>
          <w:sz w:val="20"/>
          <w:szCs w:val="20"/>
          <w:lang w:val="en"/>
        </w:rPr>
      </w:pPr>
      <w:bookmarkStart w:id="3" w:name="R69261"/>
      <w:r>
        <w:rPr>
          <w:rFonts w:ascii="Arial" w:eastAsia="Times New Roman" w:hAnsi="Arial" w:cs="Arial"/>
          <w:sz w:val="20"/>
          <w:szCs w:val="20"/>
          <w:lang w:val="en"/>
        </w:rPr>
        <w:t xml:space="preserve">Kremer M, Ott G, </w:t>
      </w:r>
      <w:proofErr w:type="spellStart"/>
      <w:r>
        <w:rPr>
          <w:rFonts w:ascii="Arial" w:eastAsia="Times New Roman" w:hAnsi="Arial" w:cs="Arial"/>
          <w:sz w:val="20"/>
          <w:szCs w:val="20"/>
          <w:lang w:val="en"/>
        </w:rPr>
        <w:t>Nathrath</w:t>
      </w:r>
      <w:proofErr w:type="spellEnd"/>
      <w:r>
        <w:rPr>
          <w:rFonts w:ascii="Arial" w:eastAsia="Times New Roman" w:hAnsi="Arial" w:cs="Arial"/>
          <w:sz w:val="20"/>
          <w:szCs w:val="20"/>
          <w:lang w:val="en"/>
        </w:rPr>
        <w:t xml:space="preserve"> M, Specht K, Stecker K, Alexiou C, Quintanilla-Martinez L, Fend F. Primary extramedullary plasmacytoma and multiple myeloma: phenotypic differences revealed by immunohistochemical analysis. </w:t>
      </w:r>
      <w:r>
        <w:rPr>
          <w:rStyle w:val="Emphasis"/>
          <w:rFonts w:ascii="Arial" w:eastAsia="Times New Roman" w:hAnsi="Arial" w:cs="Arial"/>
          <w:sz w:val="20"/>
          <w:szCs w:val="20"/>
          <w:lang w:val="en"/>
        </w:rPr>
        <w:t xml:space="preserve">J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2005 Jan;205(1):92-101.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10.1002/path.1680. PMID: 15586381.</w:t>
      </w:r>
      <w:bookmarkEnd w:id="3"/>
    </w:p>
    <w:p w14:paraId="1F5F48C9" w14:textId="77777777" w:rsidR="00613A7D" w:rsidRDefault="00613A7D" w:rsidP="003430D4">
      <w:pPr>
        <w:numPr>
          <w:ilvl w:val="0"/>
          <w:numId w:val="18"/>
        </w:numPr>
        <w:spacing w:after="0" w:line="276" w:lineRule="auto"/>
        <w:divId w:val="175777914"/>
        <w:rPr>
          <w:rFonts w:ascii="Arial" w:eastAsia="Times New Roman" w:hAnsi="Arial" w:cs="Arial"/>
          <w:sz w:val="20"/>
          <w:szCs w:val="20"/>
          <w:lang w:val="en"/>
        </w:rPr>
      </w:pPr>
      <w:bookmarkStart w:id="4" w:name="R69262"/>
      <w:r>
        <w:rPr>
          <w:rFonts w:ascii="Arial" w:eastAsia="Times New Roman" w:hAnsi="Arial" w:cs="Arial"/>
          <w:sz w:val="20"/>
          <w:szCs w:val="20"/>
          <w:lang w:val="en"/>
        </w:rPr>
        <w:t xml:space="preserve">Fernández de Larrea, C., Kyle, R., </w:t>
      </w:r>
      <w:proofErr w:type="spellStart"/>
      <w:r>
        <w:rPr>
          <w:rFonts w:ascii="Arial" w:eastAsia="Times New Roman" w:hAnsi="Arial" w:cs="Arial"/>
          <w:sz w:val="20"/>
          <w:szCs w:val="20"/>
          <w:lang w:val="en"/>
        </w:rPr>
        <w:t>Rosiñol</w:t>
      </w:r>
      <w:proofErr w:type="spellEnd"/>
      <w:r>
        <w:rPr>
          <w:rFonts w:ascii="Arial" w:eastAsia="Times New Roman" w:hAnsi="Arial" w:cs="Arial"/>
          <w:sz w:val="20"/>
          <w:szCs w:val="20"/>
          <w:lang w:val="en"/>
        </w:rPr>
        <w:t xml:space="preserve">, L. et al. Primary plasma cell leukemia: consensus definition by the International Myeloma Working Group according to peripheral blood plasma cell percentage. </w:t>
      </w:r>
      <w:r>
        <w:rPr>
          <w:rStyle w:val="Emphasis"/>
          <w:rFonts w:ascii="Arial" w:eastAsia="Times New Roman" w:hAnsi="Arial" w:cs="Arial"/>
          <w:sz w:val="20"/>
          <w:szCs w:val="20"/>
          <w:lang w:val="en"/>
        </w:rPr>
        <w:t>Blood Cancer J</w:t>
      </w:r>
      <w:r>
        <w:rPr>
          <w:rFonts w:ascii="Arial" w:eastAsia="Times New Roman" w:hAnsi="Arial" w:cs="Arial"/>
          <w:sz w:val="20"/>
          <w:szCs w:val="20"/>
          <w:lang w:val="en"/>
        </w:rPr>
        <w:t>. 11,192 (2021). https://doi.org/10.1038/s41408-021-00587-0.</w:t>
      </w:r>
      <w:bookmarkEnd w:id="4"/>
    </w:p>
    <w:p w14:paraId="25780F54" w14:textId="77777777" w:rsidR="00613A7D" w:rsidRDefault="00613A7D" w:rsidP="003430D4">
      <w:pPr>
        <w:numPr>
          <w:ilvl w:val="0"/>
          <w:numId w:val="18"/>
        </w:numPr>
        <w:spacing w:after="0" w:line="276" w:lineRule="auto"/>
        <w:divId w:val="175777914"/>
        <w:rPr>
          <w:rFonts w:ascii="Arial" w:eastAsia="Times New Roman" w:hAnsi="Arial" w:cs="Arial"/>
          <w:sz w:val="20"/>
          <w:szCs w:val="20"/>
          <w:lang w:val="en"/>
        </w:rPr>
      </w:pPr>
      <w:bookmarkStart w:id="5" w:name="R69263"/>
      <w:r>
        <w:rPr>
          <w:rFonts w:ascii="Arial" w:eastAsia="Times New Roman" w:hAnsi="Arial" w:cs="Arial"/>
          <w:sz w:val="20"/>
          <w:szCs w:val="20"/>
          <w:lang w:val="en"/>
        </w:rPr>
        <w:t xml:space="preserve">Marcus A, Sadimin E, Richardson M, Goodell L, Fyfe B. Fluorescence microscopy is superior to polarized microscopy for detecting amyloid deposits in Congo red-stained trephine bone marrow biopsy specimens. </w:t>
      </w:r>
      <w:proofErr w:type="gramStart"/>
      <w:r>
        <w:rPr>
          <w:rStyle w:val="Emphasis"/>
          <w:rFonts w:ascii="Arial" w:eastAsia="Times New Roman" w:hAnsi="Arial" w:cs="Arial"/>
          <w:sz w:val="20"/>
          <w:szCs w:val="20"/>
          <w:lang w:val="en"/>
        </w:rPr>
        <w:t>Am</w:t>
      </w:r>
      <w:proofErr w:type="gramEnd"/>
      <w:r>
        <w:rPr>
          <w:rStyle w:val="Emphasis"/>
          <w:rFonts w:ascii="Arial" w:eastAsia="Times New Roman" w:hAnsi="Arial" w:cs="Arial"/>
          <w:sz w:val="20"/>
          <w:szCs w:val="20"/>
          <w:lang w:val="en"/>
        </w:rPr>
        <w:t xml:space="preserve"> J Clin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2012 Oct;138(4):590-3.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10.1309/AJCP6HZI5DDQTCRM. PMID: 23010714.</w:t>
      </w:r>
      <w:bookmarkEnd w:id="5"/>
    </w:p>
    <w:p w14:paraId="09F0C7DC" w14:textId="77777777" w:rsidR="00613A7D" w:rsidRDefault="00613A7D" w:rsidP="003430D4">
      <w:pPr>
        <w:numPr>
          <w:ilvl w:val="0"/>
          <w:numId w:val="18"/>
        </w:numPr>
        <w:spacing w:after="0" w:line="276" w:lineRule="auto"/>
        <w:divId w:val="175777914"/>
        <w:rPr>
          <w:rFonts w:ascii="Arial" w:eastAsia="Times New Roman" w:hAnsi="Arial" w:cs="Arial"/>
          <w:sz w:val="20"/>
          <w:szCs w:val="20"/>
          <w:lang w:val="en"/>
        </w:rPr>
      </w:pPr>
      <w:bookmarkStart w:id="6" w:name="R69264"/>
      <w:r>
        <w:rPr>
          <w:rFonts w:ascii="Arial" w:eastAsia="Times New Roman" w:hAnsi="Arial" w:cs="Arial"/>
          <w:sz w:val="20"/>
          <w:szCs w:val="20"/>
          <w:lang w:val="en"/>
        </w:rPr>
        <w:t xml:space="preserve">Julie A. Vrana, Jeffrey D. Gamez, Benjamin J. Madden, Jason D. Theis, H. Robert Bergen, Ahmet Dogan; Classification of amyloidosis by laser microdissection and mass spectrometry–based proteomic analysis in clinical biopsy specimens. </w:t>
      </w:r>
      <w:r>
        <w:rPr>
          <w:rStyle w:val="Emphasis"/>
          <w:rFonts w:ascii="Arial" w:eastAsia="Times New Roman" w:hAnsi="Arial" w:cs="Arial"/>
          <w:sz w:val="20"/>
          <w:szCs w:val="20"/>
          <w:lang w:val="en"/>
        </w:rPr>
        <w:t>Blood</w:t>
      </w:r>
      <w:r>
        <w:rPr>
          <w:rFonts w:ascii="Arial" w:eastAsia="Times New Roman" w:hAnsi="Arial" w:cs="Arial"/>
          <w:sz w:val="20"/>
          <w:szCs w:val="20"/>
          <w:lang w:val="en"/>
        </w:rPr>
        <w:t xml:space="preserve"> 2009; 114 (24): 4957–4959.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https://doi.org/10.1182/blood-2009-07-230722.</w:t>
      </w:r>
      <w:bookmarkEnd w:id="6"/>
    </w:p>
    <w:p w14:paraId="752FFB31" w14:textId="77777777" w:rsidR="00613A7D" w:rsidRDefault="00613A7D" w:rsidP="003430D4">
      <w:pPr>
        <w:numPr>
          <w:ilvl w:val="0"/>
          <w:numId w:val="18"/>
        </w:numPr>
        <w:spacing w:after="0" w:line="276" w:lineRule="auto"/>
        <w:divId w:val="175777914"/>
        <w:rPr>
          <w:rFonts w:ascii="Arial" w:eastAsia="Times New Roman" w:hAnsi="Arial" w:cs="Arial"/>
          <w:sz w:val="20"/>
          <w:szCs w:val="20"/>
          <w:lang w:val="en"/>
        </w:rPr>
      </w:pPr>
      <w:bookmarkStart w:id="7" w:name="R69265"/>
      <w:r>
        <w:rPr>
          <w:rFonts w:ascii="Arial" w:eastAsia="Times New Roman" w:hAnsi="Arial" w:cs="Arial"/>
          <w:sz w:val="20"/>
          <w:szCs w:val="20"/>
          <w:lang w:val="en"/>
        </w:rPr>
        <w:t xml:space="preserve">Pozzi C, D'Amico M, </w:t>
      </w:r>
      <w:proofErr w:type="spellStart"/>
      <w:r>
        <w:rPr>
          <w:rFonts w:ascii="Arial" w:eastAsia="Times New Roman" w:hAnsi="Arial" w:cs="Arial"/>
          <w:sz w:val="20"/>
          <w:szCs w:val="20"/>
          <w:lang w:val="en"/>
        </w:rPr>
        <w:t>Fogazzi</w:t>
      </w:r>
      <w:proofErr w:type="spellEnd"/>
      <w:r>
        <w:rPr>
          <w:rFonts w:ascii="Arial" w:eastAsia="Times New Roman" w:hAnsi="Arial" w:cs="Arial"/>
          <w:sz w:val="20"/>
          <w:szCs w:val="20"/>
          <w:lang w:val="en"/>
        </w:rPr>
        <w:t xml:space="preserve"> GB, </w:t>
      </w:r>
      <w:proofErr w:type="spellStart"/>
      <w:r>
        <w:rPr>
          <w:rFonts w:ascii="Arial" w:eastAsia="Times New Roman" w:hAnsi="Arial" w:cs="Arial"/>
          <w:sz w:val="20"/>
          <w:szCs w:val="20"/>
          <w:lang w:val="en"/>
        </w:rPr>
        <w:t>Curioni</w:t>
      </w:r>
      <w:proofErr w:type="spellEnd"/>
      <w:r>
        <w:rPr>
          <w:rFonts w:ascii="Arial" w:eastAsia="Times New Roman" w:hAnsi="Arial" w:cs="Arial"/>
          <w:sz w:val="20"/>
          <w:szCs w:val="20"/>
          <w:lang w:val="en"/>
        </w:rPr>
        <w:t xml:space="preserve"> S, Ferrario F, Pasquali S, </w:t>
      </w:r>
      <w:proofErr w:type="spellStart"/>
      <w:r>
        <w:rPr>
          <w:rFonts w:ascii="Arial" w:eastAsia="Times New Roman" w:hAnsi="Arial" w:cs="Arial"/>
          <w:sz w:val="20"/>
          <w:szCs w:val="20"/>
          <w:lang w:val="en"/>
        </w:rPr>
        <w:t>Quattrocchio</w:t>
      </w:r>
      <w:proofErr w:type="spellEnd"/>
      <w:r>
        <w:rPr>
          <w:rFonts w:ascii="Arial" w:eastAsia="Times New Roman" w:hAnsi="Arial" w:cs="Arial"/>
          <w:sz w:val="20"/>
          <w:szCs w:val="20"/>
          <w:lang w:val="en"/>
        </w:rPr>
        <w:t xml:space="preserve"> G, </w:t>
      </w:r>
      <w:proofErr w:type="spellStart"/>
      <w:r>
        <w:rPr>
          <w:rFonts w:ascii="Arial" w:eastAsia="Times New Roman" w:hAnsi="Arial" w:cs="Arial"/>
          <w:sz w:val="20"/>
          <w:szCs w:val="20"/>
          <w:lang w:val="en"/>
        </w:rPr>
        <w:t>Rollino</w:t>
      </w:r>
      <w:proofErr w:type="spellEnd"/>
      <w:r>
        <w:rPr>
          <w:rFonts w:ascii="Arial" w:eastAsia="Times New Roman" w:hAnsi="Arial" w:cs="Arial"/>
          <w:sz w:val="20"/>
          <w:szCs w:val="20"/>
          <w:lang w:val="en"/>
        </w:rPr>
        <w:t xml:space="preserve"> C, </w:t>
      </w:r>
      <w:proofErr w:type="spellStart"/>
      <w:r>
        <w:rPr>
          <w:rFonts w:ascii="Arial" w:eastAsia="Times New Roman" w:hAnsi="Arial" w:cs="Arial"/>
          <w:sz w:val="20"/>
          <w:szCs w:val="20"/>
          <w:lang w:val="en"/>
        </w:rPr>
        <w:t>Segagni</w:t>
      </w:r>
      <w:proofErr w:type="spellEnd"/>
      <w:r>
        <w:rPr>
          <w:rFonts w:ascii="Arial" w:eastAsia="Times New Roman" w:hAnsi="Arial" w:cs="Arial"/>
          <w:sz w:val="20"/>
          <w:szCs w:val="20"/>
          <w:lang w:val="en"/>
        </w:rPr>
        <w:t xml:space="preserve"> S, Locatelli F. Light chain deposition disease with renal involvement: clinical characteristics and prognostic factors.</w:t>
      </w:r>
      <w:r>
        <w:rPr>
          <w:rStyle w:val="Emphasis"/>
          <w:rFonts w:ascii="Arial" w:eastAsia="Times New Roman" w:hAnsi="Arial" w:cs="Arial"/>
          <w:sz w:val="20"/>
          <w:szCs w:val="20"/>
          <w:lang w:val="en"/>
        </w:rPr>
        <w:t xml:space="preserve"> Am J Kidney Dis.</w:t>
      </w:r>
      <w:r>
        <w:rPr>
          <w:rFonts w:ascii="Arial" w:eastAsia="Times New Roman" w:hAnsi="Arial" w:cs="Arial"/>
          <w:sz w:val="20"/>
          <w:szCs w:val="20"/>
          <w:lang w:val="en"/>
        </w:rPr>
        <w:t xml:space="preserve"> 2003 Dec;42(6):1154-63.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10.1053/j.ajkd.2003.08.040. PMID: 14655186.</w:t>
      </w:r>
      <w:bookmarkEnd w:id="7"/>
    </w:p>
    <w:p w14:paraId="4CC47073" w14:textId="77777777" w:rsidR="00613A7D" w:rsidRDefault="00613A7D" w:rsidP="003430D4">
      <w:pPr>
        <w:numPr>
          <w:ilvl w:val="0"/>
          <w:numId w:val="18"/>
        </w:numPr>
        <w:spacing w:after="0" w:line="276" w:lineRule="auto"/>
        <w:divId w:val="175777914"/>
        <w:rPr>
          <w:rFonts w:ascii="Arial" w:eastAsia="Times New Roman" w:hAnsi="Arial" w:cs="Arial"/>
          <w:sz w:val="20"/>
          <w:szCs w:val="20"/>
          <w:lang w:val="en"/>
        </w:rPr>
      </w:pPr>
      <w:bookmarkStart w:id="8" w:name="R69266"/>
      <w:r>
        <w:rPr>
          <w:rFonts w:ascii="Arial" w:eastAsia="Times New Roman" w:hAnsi="Arial" w:cs="Arial"/>
          <w:sz w:val="20"/>
          <w:szCs w:val="20"/>
          <w:lang w:val="en"/>
        </w:rPr>
        <w:t>Wahner-</w:t>
      </w:r>
      <w:proofErr w:type="spellStart"/>
      <w:r>
        <w:rPr>
          <w:rFonts w:ascii="Arial" w:eastAsia="Times New Roman" w:hAnsi="Arial" w:cs="Arial"/>
          <w:sz w:val="20"/>
          <w:szCs w:val="20"/>
          <w:lang w:val="en"/>
        </w:rPr>
        <w:t>Roedler</w:t>
      </w:r>
      <w:proofErr w:type="spellEnd"/>
      <w:r>
        <w:rPr>
          <w:rFonts w:ascii="Arial" w:eastAsia="Times New Roman" w:hAnsi="Arial" w:cs="Arial"/>
          <w:sz w:val="20"/>
          <w:szCs w:val="20"/>
          <w:lang w:val="en"/>
        </w:rPr>
        <w:t xml:space="preserve"> DL, Kyle RA. Heavy chain diseases. </w:t>
      </w:r>
      <w:r>
        <w:rPr>
          <w:rStyle w:val="Emphasis"/>
          <w:rFonts w:ascii="Arial" w:eastAsia="Times New Roman" w:hAnsi="Arial" w:cs="Arial"/>
          <w:sz w:val="20"/>
          <w:szCs w:val="20"/>
          <w:lang w:val="en"/>
        </w:rPr>
        <w:t xml:space="preserve">Best </w:t>
      </w:r>
      <w:proofErr w:type="spellStart"/>
      <w:r>
        <w:rPr>
          <w:rStyle w:val="Emphasis"/>
          <w:rFonts w:ascii="Arial" w:eastAsia="Times New Roman" w:hAnsi="Arial" w:cs="Arial"/>
          <w:sz w:val="20"/>
          <w:szCs w:val="20"/>
          <w:lang w:val="en"/>
        </w:rPr>
        <w:t>Pract</w:t>
      </w:r>
      <w:proofErr w:type="spellEnd"/>
      <w:r>
        <w:rPr>
          <w:rStyle w:val="Emphasis"/>
          <w:rFonts w:ascii="Arial" w:eastAsia="Times New Roman" w:hAnsi="Arial" w:cs="Arial"/>
          <w:sz w:val="20"/>
          <w:szCs w:val="20"/>
          <w:lang w:val="en"/>
        </w:rPr>
        <w:t xml:space="preserve"> Res Clin </w:t>
      </w:r>
      <w:proofErr w:type="spellStart"/>
      <w:r>
        <w:rPr>
          <w:rStyle w:val="Emphasis"/>
          <w:rFonts w:ascii="Arial" w:eastAsia="Times New Roman" w:hAnsi="Arial" w:cs="Arial"/>
          <w:sz w:val="20"/>
          <w:szCs w:val="20"/>
          <w:lang w:val="en"/>
        </w:rPr>
        <w:t>Haematol</w:t>
      </w:r>
      <w:proofErr w:type="spellEnd"/>
      <w:r>
        <w:rPr>
          <w:rStyle w:val="Emphasis"/>
          <w:rFonts w:ascii="Arial" w:eastAsia="Times New Roman" w:hAnsi="Arial" w:cs="Arial"/>
          <w:sz w:val="20"/>
          <w:szCs w:val="20"/>
          <w:lang w:val="en"/>
        </w:rPr>
        <w:t xml:space="preserve">. </w:t>
      </w:r>
      <w:r>
        <w:rPr>
          <w:rFonts w:ascii="Arial" w:eastAsia="Times New Roman" w:hAnsi="Arial" w:cs="Arial"/>
          <w:sz w:val="20"/>
          <w:szCs w:val="20"/>
          <w:lang w:val="en"/>
        </w:rPr>
        <w:t xml:space="preserve">2005;18(4):729-46.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10.1016/j.beha.2005.01.029. PMID: 16026747.</w:t>
      </w:r>
      <w:bookmarkEnd w:id="8"/>
    </w:p>
    <w:p w14:paraId="488E25D0" w14:textId="77777777" w:rsidR="003430D4" w:rsidRDefault="003430D4" w:rsidP="003430D4">
      <w:pPr>
        <w:spacing w:after="0" w:line="276" w:lineRule="auto"/>
        <w:ind w:left="720"/>
        <w:divId w:val="175777914"/>
        <w:rPr>
          <w:rFonts w:ascii="Arial" w:eastAsia="Times New Roman" w:hAnsi="Arial" w:cs="Arial"/>
          <w:sz w:val="20"/>
          <w:szCs w:val="20"/>
          <w:lang w:val="en"/>
        </w:rPr>
      </w:pPr>
    </w:p>
    <w:p w14:paraId="271ACA1D" w14:textId="77777777" w:rsidR="00613A7D" w:rsidRDefault="00613A7D" w:rsidP="003430D4">
      <w:pPr>
        <w:spacing w:after="0" w:line="276" w:lineRule="auto"/>
        <w:divId w:val="1440754968"/>
        <w:rPr>
          <w:rFonts w:ascii="Arial" w:eastAsia="Times New Roman" w:hAnsi="Arial" w:cs="Arial"/>
          <w:b/>
          <w:bCs/>
          <w:sz w:val="20"/>
          <w:szCs w:val="20"/>
          <w:lang w:val="en"/>
        </w:rPr>
      </w:pPr>
      <w:bookmarkStart w:id="9" w:name="N12279"/>
      <w:r>
        <w:rPr>
          <w:rFonts w:ascii="Arial" w:eastAsia="Times New Roman" w:hAnsi="Arial" w:cs="Arial"/>
          <w:b/>
          <w:bCs/>
          <w:sz w:val="20"/>
          <w:szCs w:val="20"/>
          <w:lang w:val="en"/>
        </w:rPr>
        <w:t>C. Special Studies</w:t>
      </w:r>
      <w:bookmarkEnd w:id="9"/>
    </w:p>
    <w:p w14:paraId="01DC1886" w14:textId="77777777" w:rsidR="00613A7D" w:rsidRDefault="00613A7D" w:rsidP="003430D4">
      <w:pPr>
        <w:pStyle w:val="NormalWeb"/>
        <w:spacing w:before="0" w:beforeAutospacing="0" w:after="0" w:afterAutospacing="0" w:line="276" w:lineRule="auto"/>
        <w:divId w:val="155732941"/>
        <w:rPr>
          <w:rFonts w:ascii="Arial" w:hAnsi="Arial" w:cs="Arial"/>
          <w:b/>
          <w:bCs/>
          <w:sz w:val="20"/>
          <w:szCs w:val="20"/>
          <w:u w:val="single"/>
          <w:lang w:val="en"/>
        </w:rPr>
      </w:pPr>
    </w:p>
    <w:p w14:paraId="49C8884F" w14:textId="272A4929" w:rsidR="00613A7D" w:rsidRDefault="00613A7D" w:rsidP="003430D4">
      <w:pPr>
        <w:pStyle w:val="NormalWeb"/>
        <w:spacing w:before="0" w:beforeAutospacing="0" w:after="0" w:afterAutospacing="0" w:line="276" w:lineRule="auto"/>
        <w:divId w:val="155732941"/>
        <w:rPr>
          <w:lang w:val="en"/>
        </w:rPr>
      </w:pPr>
      <w:r>
        <w:rPr>
          <w:rFonts w:ascii="Arial" w:hAnsi="Arial" w:cs="Arial"/>
          <w:b/>
          <w:bCs/>
          <w:sz w:val="20"/>
          <w:szCs w:val="20"/>
          <w:u w:val="single"/>
          <w:lang w:val="en"/>
        </w:rPr>
        <w:t>Immunoglobulin/Amyloid Depositions</w:t>
      </w:r>
      <w:r>
        <w:rPr>
          <w:lang w:val="en"/>
        </w:rPr>
        <w:br/>
      </w:r>
      <w:r>
        <w:rPr>
          <w:lang w:val="en"/>
        </w:rPr>
        <w:br/>
      </w:r>
      <w:r>
        <w:rPr>
          <w:rFonts w:ascii="Arial" w:hAnsi="Arial" w:cs="Arial"/>
          <w:sz w:val="20"/>
          <w:szCs w:val="20"/>
          <w:lang w:val="en"/>
        </w:rPr>
        <w:t>Report if immunoglobulin/amyloid depositions were detected in the sample. If no special staining was performed (routine H&amp;E only) select “Not detected on routine (H&amp;E) stains, no special stains performed”. If Congo Red staining was performed to evaluate for amyloid, specify the corresponding result. For non-amyloidogenic depositions detected select “Positive for non-amyloid” and specify what was identified and method of detection. </w:t>
      </w:r>
    </w:p>
    <w:p w14:paraId="2D358A83" w14:textId="77777777" w:rsidR="00613A7D" w:rsidRDefault="00613A7D" w:rsidP="003430D4">
      <w:pPr>
        <w:pStyle w:val="NormalWeb"/>
        <w:spacing w:before="0" w:beforeAutospacing="0" w:after="0" w:afterAutospacing="0" w:line="276" w:lineRule="auto"/>
        <w:divId w:val="155732941"/>
        <w:rPr>
          <w:rFonts w:ascii="Arial" w:hAnsi="Arial" w:cs="Arial"/>
          <w:b/>
          <w:bCs/>
          <w:sz w:val="20"/>
          <w:szCs w:val="20"/>
          <w:u w:val="single"/>
          <w:lang w:val="en"/>
        </w:rPr>
      </w:pPr>
    </w:p>
    <w:p w14:paraId="2D222D5F" w14:textId="3B9D0436" w:rsidR="00613A7D" w:rsidRDefault="00613A7D" w:rsidP="003430D4">
      <w:pPr>
        <w:pStyle w:val="NormalWeb"/>
        <w:spacing w:before="0" w:beforeAutospacing="0" w:after="0" w:afterAutospacing="0" w:line="276" w:lineRule="auto"/>
        <w:divId w:val="155732941"/>
        <w:rPr>
          <w:lang w:val="en"/>
        </w:rPr>
      </w:pPr>
      <w:r>
        <w:rPr>
          <w:rFonts w:ascii="Arial" w:hAnsi="Arial" w:cs="Arial"/>
          <w:b/>
          <w:bCs/>
          <w:sz w:val="20"/>
          <w:szCs w:val="20"/>
          <w:u w:val="single"/>
          <w:lang w:val="en"/>
        </w:rPr>
        <w:t>Immunohistochemistry</w:t>
      </w:r>
      <w:r>
        <w:rPr>
          <w:lang w:val="en"/>
        </w:rPr>
        <w:br/>
      </w:r>
      <w:r>
        <w:rPr>
          <w:lang w:val="en"/>
        </w:rPr>
        <w:br/>
      </w:r>
      <w:r>
        <w:rPr>
          <w:rFonts w:ascii="Arial" w:hAnsi="Arial" w:cs="Arial"/>
          <w:sz w:val="20"/>
          <w:szCs w:val="20"/>
          <w:lang w:val="en"/>
        </w:rPr>
        <w:t xml:space="preserve">If immunohistochemistry is utilized to immunophenotype the plasma cells, specify the results in the cancer case summary. There is no proscriptive way to accomplish this and can reflect what is used at the institutional level. Suggested reporting methods could utilize (+) for positive result and (-) for negative and include descriptors if there is variability in staining (focal, patchy) or intensity (dim, bright staining). Immunohistochemistry is delineated separately from immunophenotyping by flow cytometry as there might be differences due to the different sensitivities of the assays (flow cytometry is typically more </w:t>
      </w:r>
      <w:r>
        <w:rPr>
          <w:rFonts w:ascii="Arial" w:hAnsi="Arial" w:cs="Arial"/>
          <w:sz w:val="20"/>
          <w:szCs w:val="20"/>
          <w:lang w:val="en"/>
        </w:rPr>
        <w:lastRenderedPageBreak/>
        <w:t>sensitive), differences in antibody used, differences in localization of the antigens (immunohistochemistry may be positive for cytoplasmic antigens that are negative on surface analysis by flow cytometry). To avoid potential confusion, these results are separated out even though some may be redundant.</w:t>
      </w:r>
      <w:r>
        <w:rPr>
          <w:lang w:val="en"/>
        </w:rPr>
        <w:br/>
      </w:r>
      <w:r>
        <w:rPr>
          <w:lang w:val="en"/>
        </w:rPr>
        <w:br/>
      </w:r>
      <w:r>
        <w:rPr>
          <w:rFonts w:ascii="Arial" w:hAnsi="Arial" w:cs="Arial"/>
          <w:b/>
          <w:bCs/>
          <w:sz w:val="20"/>
          <w:szCs w:val="20"/>
          <w:u w:val="single"/>
          <w:lang w:val="en"/>
        </w:rPr>
        <w:t>Flow Cytometry</w:t>
      </w:r>
      <w:r>
        <w:rPr>
          <w:lang w:val="en"/>
        </w:rPr>
        <w:br/>
      </w:r>
      <w:r>
        <w:rPr>
          <w:lang w:val="en"/>
        </w:rPr>
        <w:br/>
      </w:r>
      <w:r>
        <w:rPr>
          <w:rFonts w:ascii="Arial" w:hAnsi="Arial" w:cs="Arial"/>
          <w:sz w:val="20"/>
          <w:szCs w:val="20"/>
          <w:lang w:val="en"/>
        </w:rPr>
        <w:t>Flow cytometry is a quantitative method for rapid, multiparametric evaluation of the expression of cell surface and cytoplasmic antigens. If flow cytometry was performed, report if there was no aberrancy detected in the sample at the level of sensitivity of the assay or specify what specific alterations were detected. Of note, flow cytometry may significantly underestimate the number of plasma cells in the sample, but quantitation of level of antigen expression is not impacted by the nature of the cells/specimen.</w:t>
      </w:r>
      <w:r>
        <w:rPr>
          <w:lang w:val="en"/>
        </w:rPr>
        <w:br/>
      </w:r>
      <w:r>
        <w:rPr>
          <w:lang w:val="en"/>
        </w:rPr>
        <w:br/>
      </w:r>
      <w:r>
        <w:rPr>
          <w:rFonts w:ascii="Arial" w:hAnsi="Arial" w:cs="Arial"/>
          <w:sz w:val="20"/>
          <w:szCs w:val="20"/>
          <w:lang w:val="en"/>
        </w:rPr>
        <w:t xml:space="preserve">As there is significant variability in the reporting of results, the cancer case summary does not require a specific method. It is recommended to report the result on the tumor cell population in a semi-quantitative method that would allow those reviewing the report to determine if there is heterogenous expression (not all tumor cells are positive) and the level of expression on the population. Examples of this </w:t>
      </w:r>
      <w:proofErr w:type="gramStart"/>
      <w:r>
        <w:rPr>
          <w:rFonts w:ascii="Arial" w:hAnsi="Arial" w:cs="Arial"/>
          <w:sz w:val="20"/>
          <w:szCs w:val="20"/>
          <w:lang w:val="en"/>
        </w:rPr>
        <w:t>reporting</w:t>
      </w:r>
      <w:proofErr w:type="gramEnd"/>
      <w:r>
        <w:rPr>
          <w:rFonts w:ascii="Arial" w:hAnsi="Arial" w:cs="Arial"/>
          <w:sz w:val="20"/>
          <w:szCs w:val="20"/>
          <w:lang w:val="en"/>
        </w:rPr>
        <w:t xml:space="preserve"> include: CD20 dim+ (low-level expression of CD20), CD56+ (moderate level of expression of CD56), CD38++ (bright expression of CD38), CD45 -/+ het (variable heterogeneous expression of CD45).</w:t>
      </w:r>
      <w:r>
        <w:rPr>
          <w:lang w:val="en"/>
        </w:rPr>
        <w:br/>
      </w:r>
      <w:r>
        <w:rPr>
          <w:lang w:val="en"/>
        </w:rPr>
        <w:br/>
      </w:r>
      <w:r>
        <w:rPr>
          <w:rFonts w:ascii="Arial" w:hAnsi="Arial" w:cs="Arial"/>
          <w:b/>
          <w:bCs/>
          <w:sz w:val="20"/>
          <w:szCs w:val="20"/>
          <w:u w:val="single"/>
          <w:lang w:val="en"/>
        </w:rPr>
        <w:t>Cytogenetics</w:t>
      </w:r>
      <w:r>
        <w:rPr>
          <w:lang w:val="en"/>
        </w:rPr>
        <w:br/>
      </w:r>
      <w:r>
        <w:rPr>
          <w:lang w:val="en"/>
        </w:rPr>
        <w:br/>
      </w:r>
      <w:r>
        <w:rPr>
          <w:rFonts w:ascii="Arial" w:hAnsi="Arial" w:cs="Arial"/>
          <w:sz w:val="20"/>
          <w:szCs w:val="20"/>
          <w:lang w:val="en"/>
        </w:rPr>
        <w:t>Report if conventional/ karyotype cytogenetic analysis was performed on the sample, and if it was performed, the result.  For those samples with abnormal karyotypes, specify the result.</w:t>
      </w:r>
      <w:r>
        <w:rPr>
          <w:lang w:val="en"/>
        </w:rPr>
        <w:br/>
      </w:r>
      <w:r>
        <w:rPr>
          <w:lang w:val="en"/>
        </w:rPr>
        <w:br/>
      </w:r>
      <w:r>
        <w:rPr>
          <w:rFonts w:ascii="Arial" w:hAnsi="Arial" w:cs="Arial"/>
          <w:b/>
          <w:bCs/>
          <w:sz w:val="20"/>
          <w:szCs w:val="20"/>
          <w:u w:val="single"/>
          <w:lang w:val="en"/>
        </w:rPr>
        <w:t>Fluorescence In Situ Hybridization</w:t>
      </w:r>
      <w:r>
        <w:rPr>
          <w:lang w:val="en"/>
        </w:rPr>
        <w:br/>
      </w:r>
      <w:r>
        <w:rPr>
          <w:lang w:val="en"/>
        </w:rPr>
        <w:br/>
      </w:r>
      <w:r>
        <w:rPr>
          <w:rFonts w:ascii="Arial" w:hAnsi="Arial" w:cs="Arial"/>
          <w:sz w:val="20"/>
          <w:szCs w:val="20"/>
          <w:lang w:val="en"/>
        </w:rPr>
        <w:t>Select all the results of fluorescence in situ hybridization (FISH) that were performed. For probes with normal results specify those in the normal choice; abnormal results can be reported under the respective choice.  Common alterations detected by FISH are listed. </w:t>
      </w:r>
      <w:r>
        <w:rPr>
          <w:lang w:val="en"/>
        </w:rPr>
        <w:br/>
      </w:r>
      <w:r>
        <w:rPr>
          <w:lang w:val="en"/>
        </w:rPr>
        <w:br/>
      </w:r>
      <w:r>
        <w:rPr>
          <w:rFonts w:ascii="Arial" w:hAnsi="Arial" w:cs="Arial"/>
          <w:b/>
          <w:bCs/>
          <w:sz w:val="20"/>
          <w:szCs w:val="20"/>
          <w:u w:val="single"/>
          <w:lang w:val="en"/>
        </w:rPr>
        <w:t>Molecular Alterations Detected</w:t>
      </w:r>
      <w:r>
        <w:rPr>
          <w:lang w:val="en"/>
        </w:rPr>
        <w:br/>
      </w:r>
      <w:r>
        <w:rPr>
          <w:lang w:val="en"/>
        </w:rPr>
        <w:br/>
      </w:r>
      <w:r>
        <w:rPr>
          <w:rFonts w:ascii="Arial" w:hAnsi="Arial" w:cs="Arial"/>
          <w:sz w:val="20"/>
          <w:szCs w:val="20"/>
          <w:lang w:val="en"/>
        </w:rPr>
        <w:t>With the advent of increasingly sophisticated molecular genetic techniques such as next-generation sequencing (NGS), chromosomal microarrays and large fluorescence in-situ hybridization panels reporting all these results in a synoptic format is a challenge. As this is an emerging area in evaluation of plasma cell and paraprotein associated disorders, the reporting is optional. The cancer case summary may be used to report what was performed and positive results along with any pertinent additional information such as method (NGS, RT-PCR, etc.).</w:t>
      </w:r>
    </w:p>
    <w:p w14:paraId="133353DB" w14:textId="77777777" w:rsidR="00613A7D" w:rsidRDefault="00613A7D" w:rsidP="003430D4">
      <w:pPr>
        <w:pStyle w:val="NormalWeb"/>
        <w:spacing w:before="0" w:beforeAutospacing="0" w:after="0" w:afterAutospacing="0" w:line="276" w:lineRule="auto"/>
        <w:divId w:val="155732941"/>
        <w:rPr>
          <w:lang w:val="en"/>
        </w:rPr>
      </w:pPr>
      <w:r>
        <w:rPr>
          <w:lang w:val="en"/>
        </w:rPr>
        <w:t> </w:t>
      </w:r>
    </w:p>
    <w:sectPr w:rsidR="00613A7D">
      <w:headerReference w:type="default" r:id="rId8"/>
      <w:footerReference w:type="default" r:id="rId9"/>
      <w:headerReference w:type="first" r:id="rId10"/>
      <w:footerReference w:type="firs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48F59" w14:textId="77777777" w:rsidR="00613A7D" w:rsidRDefault="00613A7D">
      <w:pPr>
        <w:spacing w:after="0" w:line="240" w:lineRule="auto"/>
      </w:pPr>
      <w:r>
        <w:separator/>
      </w:r>
    </w:p>
  </w:endnote>
  <w:endnote w:type="continuationSeparator" w:id="0">
    <w:p w14:paraId="16744C4D" w14:textId="77777777" w:rsidR="00613A7D" w:rsidRDefault="00613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6BA38" w14:textId="2C004DD5" w:rsidR="00880FD2" w:rsidRDefault="00613A7D">
    <w:pPr>
      <w:pStyle w:val="Footer"/>
      <w:jc w:val="right"/>
    </w:pPr>
    <w:r>
      <w:fldChar w:fldCharType="begin"/>
    </w:r>
    <w:r>
      <w:instrText>PAGE</w:instrText>
    </w:r>
    <w:r>
      <w:fldChar w:fldCharType="separate"/>
    </w:r>
    <w:r w:rsidR="00D8707A">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06EFB" w14:textId="77777777" w:rsidR="00613A7D" w:rsidRDefault="00613A7D">
    <w:r>
      <w:rPr>
        <w:rFonts w:ascii="Arial"/>
        <w:sz w:val="16"/>
      </w:rPr>
      <w:t>©</w:t>
    </w:r>
    <w:r>
      <w:rPr>
        <w:rFonts w:ascii="Arial"/>
        <w:sz w:val="16"/>
      </w:rPr>
      <w:t xml:space="preserve"> 2025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09EAB" w14:textId="77777777" w:rsidR="00613A7D" w:rsidRDefault="00613A7D">
      <w:pPr>
        <w:spacing w:after="0" w:line="240" w:lineRule="auto"/>
      </w:pPr>
      <w:r>
        <w:separator/>
      </w:r>
    </w:p>
  </w:footnote>
  <w:footnote w:type="continuationSeparator" w:id="0">
    <w:p w14:paraId="06CAACC2" w14:textId="77777777" w:rsidR="00613A7D" w:rsidRDefault="00613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83563" w14:textId="77777777" w:rsidR="00880FD2" w:rsidRDefault="00880F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26A712DB" w14:textId="77777777" w:rsidTr="00776589">
      <w:tc>
        <w:tcPr>
          <w:tcW w:w="1500" w:type="dxa"/>
        </w:tcPr>
        <w:p w14:paraId="0A74F621" w14:textId="77777777" w:rsidR="00613A7D" w:rsidRDefault="00613A7D">
          <w:r>
            <w:t>CAP Approved</w:t>
          </w:r>
        </w:p>
      </w:tc>
      <w:tc>
        <w:tcPr>
          <w:tcW w:w="8076" w:type="dxa"/>
        </w:tcPr>
        <w:p w14:paraId="4412F753" w14:textId="2C1A4F77" w:rsidR="00613A7D" w:rsidRDefault="00613A7D">
          <w:pPr>
            <w:jc w:val="right"/>
          </w:pPr>
          <w:r>
            <w:t>Heme.PlasmaCell_Immuno.Bx.Res_1.0.0.1.</w:t>
          </w:r>
          <w:r w:rsidR="00D8707A">
            <w:t>REL</w:t>
          </w:r>
          <w:r>
            <w:t>_CAPCP</w:t>
          </w:r>
        </w:p>
      </w:tc>
    </w:tr>
  </w:tbl>
  <w:p w14:paraId="728B1E04" w14:textId="77777777" w:rsidR="00880FD2" w:rsidRDefault="00880F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D49C6" w14:textId="77777777" w:rsidR="00880FD2" w:rsidRDefault="00613A7D">
    <w:r>
      <w:rPr>
        <w:noProof/>
      </w:rPr>
      <w:drawing>
        <wp:inline distT="0" distB="0" distL="0" distR="0" wp14:anchorId="7A4AD5A8" wp14:editId="23F394E7">
          <wp:extent cx="3990000"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p>
  <w:p w14:paraId="1EC421C6" w14:textId="360A2F86" w:rsidR="00880FD2" w:rsidRDefault="003430D4">
    <w:r>
      <w:rPr>
        <w:noProof/>
      </w:rPr>
      <w:pict w14:anchorId="52A439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58F1"/>
    <w:multiLevelType w:val="multilevel"/>
    <w:tmpl w:val="981A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F416A"/>
    <w:multiLevelType w:val="multilevel"/>
    <w:tmpl w:val="6B4C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A2F3C"/>
    <w:multiLevelType w:val="multilevel"/>
    <w:tmpl w:val="BCCC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046FF8"/>
    <w:multiLevelType w:val="multilevel"/>
    <w:tmpl w:val="9C16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FD1859"/>
    <w:multiLevelType w:val="multilevel"/>
    <w:tmpl w:val="6920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935235"/>
    <w:multiLevelType w:val="multilevel"/>
    <w:tmpl w:val="FB1C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D90534"/>
    <w:multiLevelType w:val="multilevel"/>
    <w:tmpl w:val="9C644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FE2CC2"/>
    <w:multiLevelType w:val="multilevel"/>
    <w:tmpl w:val="7D8E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1674EF"/>
    <w:multiLevelType w:val="multilevel"/>
    <w:tmpl w:val="85E41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783465"/>
    <w:multiLevelType w:val="multilevel"/>
    <w:tmpl w:val="AB28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2B62AF"/>
    <w:multiLevelType w:val="multilevel"/>
    <w:tmpl w:val="5EF4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1B3FAB"/>
    <w:multiLevelType w:val="multilevel"/>
    <w:tmpl w:val="86FC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3305F8"/>
    <w:multiLevelType w:val="multilevel"/>
    <w:tmpl w:val="32A2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6F08CF"/>
    <w:multiLevelType w:val="multilevel"/>
    <w:tmpl w:val="1E7C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F74360"/>
    <w:multiLevelType w:val="multilevel"/>
    <w:tmpl w:val="D282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0F7B33"/>
    <w:multiLevelType w:val="multilevel"/>
    <w:tmpl w:val="38E2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9942EC"/>
    <w:multiLevelType w:val="multilevel"/>
    <w:tmpl w:val="37E0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BD3D02"/>
    <w:multiLevelType w:val="multilevel"/>
    <w:tmpl w:val="5C6C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9850197">
    <w:abstractNumId w:val="17"/>
  </w:num>
  <w:num w:numId="2" w16cid:durableId="2119714947">
    <w:abstractNumId w:val="0"/>
  </w:num>
  <w:num w:numId="3" w16cid:durableId="1843928115">
    <w:abstractNumId w:val="3"/>
  </w:num>
  <w:num w:numId="4" w16cid:durableId="514150249">
    <w:abstractNumId w:val="5"/>
  </w:num>
  <w:num w:numId="5" w16cid:durableId="2121533521">
    <w:abstractNumId w:val="10"/>
  </w:num>
  <w:num w:numId="6" w16cid:durableId="911040302">
    <w:abstractNumId w:val="12"/>
  </w:num>
  <w:num w:numId="7" w16cid:durableId="442267569">
    <w:abstractNumId w:val="9"/>
  </w:num>
  <w:num w:numId="8" w16cid:durableId="1515340785">
    <w:abstractNumId w:val="1"/>
  </w:num>
  <w:num w:numId="9" w16cid:durableId="252671466">
    <w:abstractNumId w:val="15"/>
  </w:num>
  <w:num w:numId="10" w16cid:durableId="1546065791">
    <w:abstractNumId w:val="16"/>
  </w:num>
  <w:num w:numId="11" w16cid:durableId="1498233587">
    <w:abstractNumId w:val="7"/>
  </w:num>
  <w:num w:numId="12" w16cid:durableId="1167742381">
    <w:abstractNumId w:val="14"/>
  </w:num>
  <w:num w:numId="13" w16cid:durableId="401635130">
    <w:abstractNumId w:val="6"/>
  </w:num>
  <w:num w:numId="14" w16cid:durableId="1311405180">
    <w:abstractNumId w:val="13"/>
  </w:num>
  <w:num w:numId="15" w16cid:durableId="1916934422">
    <w:abstractNumId w:val="4"/>
  </w:num>
  <w:num w:numId="16" w16cid:durableId="1291014804">
    <w:abstractNumId w:val="2"/>
  </w:num>
  <w:num w:numId="17" w16cid:durableId="1064529180">
    <w:abstractNumId w:val="11"/>
  </w:num>
  <w:num w:numId="18" w16cid:durableId="19020182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80FD2"/>
    <w:rsid w:val="003430D4"/>
    <w:rsid w:val="003E28EC"/>
    <w:rsid w:val="00613A7D"/>
    <w:rsid w:val="00880FD2"/>
    <w:rsid w:val="00B06E9A"/>
    <w:rsid w:val="00CB77D1"/>
    <w:rsid w:val="00CB787A"/>
    <w:rsid w:val="00D87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4BD07186"/>
  <w15:docId w15:val="{AAB3BF99-D695-41F6-9CD7-FEDBC88B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77914">
      <w:marLeft w:val="0"/>
      <w:marRight w:val="0"/>
      <w:marTop w:val="0"/>
      <w:marBottom w:val="0"/>
      <w:divBdr>
        <w:top w:val="none" w:sz="0" w:space="0" w:color="auto"/>
        <w:left w:val="none" w:sz="0" w:space="0" w:color="auto"/>
        <w:bottom w:val="none" w:sz="0" w:space="0" w:color="auto"/>
        <w:right w:val="none" w:sz="0" w:space="0" w:color="auto"/>
      </w:divBdr>
      <w:divsChild>
        <w:div w:id="1209533321">
          <w:marLeft w:val="0"/>
          <w:marRight w:val="0"/>
          <w:marTop w:val="0"/>
          <w:marBottom w:val="0"/>
          <w:divBdr>
            <w:top w:val="none" w:sz="0" w:space="0" w:color="auto"/>
            <w:left w:val="none" w:sz="0" w:space="0" w:color="auto"/>
            <w:bottom w:val="none" w:sz="0" w:space="0" w:color="auto"/>
            <w:right w:val="none" w:sz="0" w:space="0" w:color="auto"/>
          </w:divBdr>
        </w:div>
        <w:div w:id="837040075">
          <w:marLeft w:val="0"/>
          <w:marRight w:val="0"/>
          <w:marTop w:val="0"/>
          <w:marBottom w:val="0"/>
          <w:divBdr>
            <w:top w:val="none" w:sz="0" w:space="0" w:color="auto"/>
            <w:left w:val="none" w:sz="0" w:space="0" w:color="auto"/>
            <w:bottom w:val="none" w:sz="0" w:space="0" w:color="auto"/>
            <w:right w:val="none" w:sz="0" w:space="0" w:color="auto"/>
          </w:divBdr>
        </w:div>
        <w:div w:id="1838184453">
          <w:marLeft w:val="0"/>
          <w:marRight w:val="0"/>
          <w:marTop w:val="0"/>
          <w:marBottom w:val="0"/>
          <w:divBdr>
            <w:top w:val="none" w:sz="0" w:space="0" w:color="auto"/>
            <w:left w:val="none" w:sz="0" w:space="0" w:color="auto"/>
            <w:bottom w:val="none" w:sz="0" w:space="0" w:color="auto"/>
            <w:right w:val="none" w:sz="0" w:space="0" w:color="auto"/>
          </w:divBdr>
        </w:div>
        <w:div w:id="181553461">
          <w:marLeft w:val="0"/>
          <w:marRight w:val="0"/>
          <w:marTop w:val="0"/>
          <w:marBottom w:val="0"/>
          <w:divBdr>
            <w:top w:val="none" w:sz="0" w:space="0" w:color="auto"/>
            <w:left w:val="none" w:sz="0" w:space="0" w:color="auto"/>
            <w:bottom w:val="none" w:sz="0" w:space="0" w:color="auto"/>
            <w:right w:val="none" w:sz="0" w:space="0" w:color="auto"/>
          </w:divBdr>
        </w:div>
        <w:div w:id="1741711125">
          <w:marLeft w:val="0"/>
          <w:marRight w:val="0"/>
          <w:marTop w:val="0"/>
          <w:marBottom w:val="0"/>
          <w:divBdr>
            <w:top w:val="none" w:sz="0" w:space="0" w:color="auto"/>
            <w:left w:val="none" w:sz="0" w:space="0" w:color="auto"/>
            <w:bottom w:val="none" w:sz="0" w:space="0" w:color="auto"/>
            <w:right w:val="none" w:sz="0" w:space="0" w:color="auto"/>
          </w:divBdr>
        </w:div>
        <w:div w:id="1192378137">
          <w:marLeft w:val="0"/>
          <w:marRight w:val="0"/>
          <w:marTop w:val="0"/>
          <w:marBottom w:val="0"/>
          <w:divBdr>
            <w:top w:val="none" w:sz="0" w:space="0" w:color="auto"/>
            <w:left w:val="none" w:sz="0" w:space="0" w:color="auto"/>
            <w:bottom w:val="none" w:sz="0" w:space="0" w:color="auto"/>
            <w:right w:val="none" w:sz="0" w:space="0" w:color="auto"/>
          </w:divBdr>
        </w:div>
        <w:div w:id="1208762302">
          <w:marLeft w:val="0"/>
          <w:marRight w:val="0"/>
          <w:marTop w:val="0"/>
          <w:marBottom w:val="0"/>
          <w:divBdr>
            <w:top w:val="none" w:sz="0" w:space="0" w:color="auto"/>
            <w:left w:val="none" w:sz="0" w:space="0" w:color="auto"/>
            <w:bottom w:val="none" w:sz="0" w:space="0" w:color="auto"/>
            <w:right w:val="none" w:sz="0" w:space="0" w:color="auto"/>
          </w:divBdr>
        </w:div>
        <w:div w:id="1761174459">
          <w:marLeft w:val="0"/>
          <w:marRight w:val="0"/>
          <w:marTop w:val="0"/>
          <w:marBottom w:val="0"/>
          <w:divBdr>
            <w:top w:val="none" w:sz="0" w:space="0" w:color="auto"/>
            <w:left w:val="none" w:sz="0" w:space="0" w:color="auto"/>
            <w:bottom w:val="none" w:sz="0" w:space="0" w:color="auto"/>
            <w:right w:val="none" w:sz="0" w:space="0" w:color="auto"/>
          </w:divBdr>
        </w:div>
        <w:div w:id="828013108">
          <w:marLeft w:val="0"/>
          <w:marRight w:val="0"/>
          <w:marTop w:val="0"/>
          <w:marBottom w:val="0"/>
          <w:divBdr>
            <w:top w:val="none" w:sz="0" w:space="0" w:color="auto"/>
            <w:left w:val="none" w:sz="0" w:space="0" w:color="auto"/>
            <w:bottom w:val="none" w:sz="0" w:space="0" w:color="auto"/>
            <w:right w:val="none" w:sz="0" w:space="0" w:color="auto"/>
          </w:divBdr>
        </w:div>
        <w:div w:id="1040782601">
          <w:marLeft w:val="0"/>
          <w:marRight w:val="0"/>
          <w:marTop w:val="0"/>
          <w:marBottom w:val="0"/>
          <w:divBdr>
            <w:top w:val="none" w:sz="0" w:space="0" w:color="auto"/>
            <w:left w:val="none" w:sz="0" w:space="0" w:color="auto"/>
            <w:bottom w:val="none" w:sz="0" w:space="0" w:color="auto"/>
            <w:right w:val="none" w:sz="0" w:space="0" w:color="auto"/>
          </w:divBdr>
        </w:div>
        <w:div w:id="185994258">
          <w:marLeft w:val="0"/>
          <w:marRight w:val="0"/>
          <w:marTop w:val="0"/>
          <w:marBottom w:val="0"/>
          <w:divBdr>
            <w:top w:val="none" w:sz="0" w:space="0" w:color="auto"/>
            <w:left w:val="none" w:sz="0" w:space="0" w:color="auto"/>
            <w:bottom w:val="none" w:sz="0" w:space="0" w:color="auto"/>
            <w:right w:val="none" w:sz="0" w:space="0" w:color="auto"/>
          </w:divBdr>
        </w:div>
        <w:div w:id="462694469">
          <w:marLeft w:val="0"/>
          <w:marRight w:val="0"/>
          <w:marTop w:val="0"/>
          <w:marBottom w:val="0"/>
          <w:divBdr>
            <w:top w:val="none" w:sz="0" w:space="0" w:color="auto"/>
            <w:left w:val="none" w:sz="0" w:space="0" w:color="auto"/>
            <w:bottom w:val="none" w:sz="0" w:space="0" w:color="auto"/>
            <w:right w:val="none" w:sz="0" w:space="0" w:color="auto"/>
          </w:divBdr>
        </w:div>
        <w:div w:id="1657996381">
          <w:marLeft w:val="0"/>
          <w:marRight w:val="0"/>
          <w:marTop w:val="0"/>
          <w:marBottom w:val="0"/>
          <w:divBdr>
            <w:top w:val="none" w:sz="0" w:space="0" w:color="auto"/>
            <w:left w:val="none" w:sz="0" w:space="0" w:color="auto"/>
            <w:bottom w:val="none" w:sz="0" w:space="0" w:color="auto"/>
            <w:right w:val="none" w:sz="0" w:space="0" w:color="auto"/>
          </w:divBdr>
        </w:div>
        <w:div w:id="531767575">
          <w:marLeft w:val="0"/>
          <w:marRight w:val="0"/>
          <w:marTop w:val="0"/>
          <w:marBottom w:val="0"/>
          <w:divBdr>
            <w:top w:val="none" w:sz="0" w:space="0" w:color="auto"/>
            <w:left w:val="none" w:sz="0" w:space="0" w:color="auto"/>
            <w:bottom w:val="none" w:sz="0" w:space="0" w:color="auto"/>
            <w:right w:val="none" w:sz="0" w:space="0" w:color="auto"/>
          </w:divBdr>
        </w:div>
        <w:div w:id="308705222">
          <w:marLeft w:val="0"/>
          <w:marRight w:val="0"/>
          <w:marTop w:val="0"/>
          <w:marBottom w:val="0"/>
          <w:divBdr>
            <w:top w:val="none" w:sz="0" w:space="0" w:color="auto"/>
            <w:left w:val="none" w:sz="0" w:space="0" w:color="auto"/>
            <w:bottom w:val="single" w:sz="6" w:space="0" w:color="000000"/>
            <w:right w:val="none" w:sz="0" w:space="0" w:color="auto"/>
          </w:divBdr>
        </w:div>
        <w:div w:id="622998885">
          <w:marLeft w:val="0"/>
          <w:marRight w:val="0"/>
          <w:marTop w:val="0"/>
          <w:marBottom w:val="0"/>
          <w:divBdr>
            <w:top w:val="none" w:sz="0" w:space="0" w:color="auto"/>
            <w:left w:val="none" w:sz="0" w:space="0" w:color="auto"/>
            <w:bottom w:val="none" w:sz="0" w:space="0" w:color="auto"/>
            <w:right w:val="none" w:sz="0" w:space="0" w:color="auto"/>
          </w:divBdr>
        </w:div>
        <w:div w:id="1799106040">
          <w:marLeft w:val="0"/>
          <w:marRight w:val="0"/>
          <w:marTop w:val="0"/>
          <w:marBottom w:val="0"/>
          <w:divBdr>
            <w:top w:val="none" w:sz="0" w:space="0" w:color="auto"/>
            <w:left w:val="none" w:sz="0" w:space="0" w:color="auto"/>
            <w:bottom w:val="none" w:sz="0" w:space="0" w:color="auto"/>
            <w:right w:val="none" w:sz="0" w:space="0" w:color="auto"/>
          </w:divBdr>
        </w:div>
        <w:div w:id="134762633">
          <w:marLeft w:val="0"/>
          <w:marRight w:val="0"/>
          <w:marTop w:val="0"/>
          <w:marBottom w:val="0"/>
          <w:divBdr>
            <w:top w:val="none" w:sz="0" w:space="0" w:color="auto"/>
            <w:left w:val="none" w:sz="0" w:space="0" w:color="auto"/>
            <w:bottom w:val="none" w:sz="0" w:space="0" w:color="auto"/>
            <w:right w:val="none" w:sz="0" w:space="0" w:color="auto"/>
          </w:divBdr>
        </w:div>
        <w:div w:id="1191453261">
          <w:marLeft w:val="0"/>
          <w:marRight w:val="0"/>
          <w:marTop w:val="0"/>
          <w:marBottom w:val="0"/>
          <w:divBdr>
            <w:top w:val="none" w:sz="0" w:space="0" w:color="auto"/>
            <w:left w:val="none" w:sz="0" w:space="0" w:color="auto"/>
            <w:bottom w:val="none" w:sz="0" w:space="0" w:color="auto"/>
            <w:right w:val="none" w:sz="0" w:space="0" w:color="auto"/>
          </w:divBdr>
        </w:div>
        <w:div w:id="1906798309">
          <w:marLeft w:val="0"/>
          <w:marRight w:val="0"/>
          <w:marTop w:val="0"/>
          <w:marBottom w:val="0"/>
          <w:divBdr>
            <w:top w:val="none" w:sz="0" w:space="0" w:color="auto"/>
            <w:left w:val="none" w:sz="0" w:space="0" w:color="auto"/>
            <w:bottom w:val="none" w:sz="0" w:space="0" w:color="auto"/>
            <w:right w:val="none" w:sz="0" w:space="0" w:color="auto"/>
          </w:divBdr>
        </w:div>
        <w:div w:id="2006935824">
          <w:marLeft w:val="0"/>
          <w:marRight w:val="0"/>
          <w:marTop w:val="0"/>
          <w:marBottom w:val="0"/>
          <w:divBdr>
            <w:top w:val="none" w:sz="0" w:space="0" w:color="auto"/>
            <w:left w:val="none" w:sz="0" w:space="0" w:color="auto"/>
            <w:bottom w:val="none" w:sz="0" w:space="0" w:color="auto"/>
            <w:right w:val="none" w:sz="0" w:space="0" w:color="auto"/>
          </w:divBdr>
        </w:div>
        <w:div w:id="567763582">
          <w:marLeft w:val="0"/>
          <w:marRight w:val="0"/>
          <w:marTop w:val="0"/>
          <w:marBottom w:val="0"/>
          <w:divBdr>
            <w:top w:val="none" w:sz="0" w:space="0" w:color="auto"/>
            <w:left w:val="none" w:sz="0" w:space="0" w:color="auto"/>
            <w:bottom w:val="none" w:sz="0" w:space="0" w:color="auto"/>
            <w:right w:val="none" w:sz="0" w:space="0" w:color="auto"/>
          </w:divBdr>
        </w:div>
        <w:div w:id="423500168">
          <w:marLeft w:val="0"/>
          <w:marRight w:val="0"/>
          <w:marTop w:val="0"/>
          <w:marBottom w:val="0"/>
          <w:divBdr>
            <w:top w:val="none" w:sz="0" w:space="0" w:color="auto"/>
            <w:left w:val="none" w:sz="0" w:space="0" w:color="auto"/>
            <w:bottom w:val="none" w:sz="0" w:space="0" w:color="auto"/>
            <w:right w:val="none" w:sz="0" w:space="0" w:color="auto"/>
          </w:divBdr>
        </w:div>
        <w:div w:id="343675974">
          <w:marLeft w:val="0"/>
          <w:marRight w:val="0"/>
          <w:marTop w:val="0"/>
          <w:marBottom w:val="0"/>
          <w:divBdr>
            <w:top w:val="none" w:sz="0" w:space="0" w:color="auto"/>
            <w:left w:val="none" w:sz="0" w:space="0" w:color="auto"/>
            <w:bottom w:val="none" w:sz="0" w:space="0" w:color="auto"/>
            <w:right w:val="none" w:sz="0" w:space="0" w:color="auto"/>
          </w:divBdr>
        </w:div>
        <w:div w:id="1241910095">
          <w:marLeft w:val="0"/>
          <w:marRight w:val="0"/>
          <w:marTop w:val="0"/>
          <w:marBottom w:val="0"/>
          <w:divBdr>
            <w:top w:val="none" w:sz="0" w:space="0" w:color="auto"/>
            <w:left w:val="none" w:sz="0" w:space="0" w:color="auto"/>
            <w:bottom w:val="none" w:sz="0" w:space="0" w:color="auto"/>
            <w:right w:val="none" w:sz="0" w:space="0" w:color="auto"/>
          </w:divBdr>
        </w:div>
        <w:div w:id="1819226564">
          <w:marLeft w:val="0"/>
          <w:marRight w:val="0"/>
          <w:marTop w:val="0"/>
          <w:marBottom w:val="0"/>
          <w:divBdr>
            <w:top w:val="none" w:sz="0" w:space="0" w:color="auto"/>
            <w:left w:val="none" w:sz="0" w:space="0" w:color="auto"/>
            <w:bottom w:val="none" w:sz="0" w:space="0" w:color="auto"/>
            <w:right w:val="none" w:sz="0" w:space="0" w:color="auto"/>
          </w:divBdr>
        </w:div>
        <w:div w:id="1067143147">
          <w:marLeft w:val="0"/>
          <w:marRight w:val="0"/>
          <w:marTop w:val="0"/>
          <w:marBottom w:val="0"/>
          <w:divBdr>
            <w:top w:val="none" w:sz="0" w:space="0" w:color="auto"/>
            <w:left w:val="none" w:sz="0" w:space="0" w:color="auto"/>
            <w:bottom w:val="none" w:sz="0" w:space="0" w:color="auto"/>
            <w:right w:val="none" w:sz="0" w:space="0" w:color="auto"/>
          </w:divBdr>
        </w:div>
        <w:div w:id="124278160">
          <w:marLeft w:val="0"/>
          <w:marRight w:val="0"/>
          <w:marTop w:val="0"/>
          <w:marBottom w:val="0"/>
          <w:divBdr>
            <w:top w:val="none" w:sz="0" w:space="0" w:color="auto"/>
            <w:left w:val="none" w:sz="0" w:space="0" w:color="auto"/>
            <w:bottom w:val="none" w:sz="0" w:space="0" w:color="auto"/>
            <w:right w:val="none" w:sz="0" w:space="0" w:color="auto"/>
          </w:divBdr>
        </w:div>
        <w:div w:id="531655363">
          <w:marLeft w:val="0"/>
          <w:marRight w:val="0"/>
          <w:marTop w:val="0"/>
          <w:marBottom w:val="0"/>
          <w:divBdr>
            <w:top w:val="none" w:sz="0" w:space="0" w:color="auto"/>
            <w:left w:val="none" w:sz="0" w:space="0" w:color="auto"/>
            <w:bottom w:val="none" w:sz="0" w:space="0" w:color="auto"/>
            <w:right w:val="none" w:sz="0" w:space="0" w:color="auto"/>
          </w:divBdr>
        </w:div>
        <w:div w:id="1453092198">
          <w:marLeft w:val="0"/>
          <w:marRight w:val="0"/>
          <w:marTop w:val="0"/>
          <w:marBottom w:val="0"/>
          <w:divBdr>
            <w:top w:val="none" w:sz="0" w:space="0" w:color="auto"/>
            <w:left w:val="none" w:sz="0" w:space="0" w:color="auto"/>
            <w:bottom w:val="none" w:sz="0" w:space="0" w:color="auto"/>
            <w:right w:val="none" w:sz="0" w:space="0" w:color="auto"/>
          </w:divBdr>
        </w:div>
        <w:div w:id="2069763304">
          <w:marLeft w:val="0"/>
          <w:marRight w:val="0"/>
          <w:marTop w:val="0"/>
          <w:marBottom w:val="0"/>
          <w:divBdr>
            <w:top w:val="none" w:sz="0" w:space="0" w:color="auto"/>
            <w:left w:val="none" w:sz="0" w:space="0" w:color="auto"/>
            <w:bottom w:val="none" w:sz="0" w:space="0" w:color="auto"/>
            <w:right w:val="none" w:sz="0" w:space="0" w:color="auto"/>
          </w:divBdr>
        </w:div>
        <w:div w:id="148596186">
          <w:marLeft w:val="0"/>
          <w:marRight w:val="0"/>
          <w:marTop w:val="0"/>
          <w:marBottom w:val="0"/>
          <w:divBdr>
            <w:top w:val="none" w:sz="0" w:space="0" w:color="auto"/>
            <w:left w:val="none" w:sz="0" w:space="0" w:color="auto"/>
            <w:bottom w:val="none" w:sz="0" w:space="0" w:color="auto"/>
            <w:right w:val="none" w:sz="0" w:space="0" w:color="auto"/>
          </w:divBdr>
        </w:div>
        <w:div w:id="260723522">
          <w:marLeft w:val="0"/>
          <w:marRight w:val="0"/>
          <w:marTop w:val="0"/>
          <w:marBottom w:val="0"/>
          <w:divBdr>
            <w:top w:val="none" w:sz="0" w:space="0" w:color="auto"/>
            <w:left w:val="none" w:sz="0" w:space="0" w:color="auto"/>
            <w:bottom w:val="none" w:sz="0" w:space="0" w:color="auto"/>
            <w:right w:val="none" w:sz="0" w:space="0" w:color="auto"/>
          </w:divBdr>
        </w:div>
        <w:div w:id="869534227">
          <w:marLeft w:val="0"/>
          <w:marRight w:val="0"/>
          <w:marTop w:val="0"/>
          <w:marBottom w:val="0"/>
          <w:divBdr>
            <w:top w:val="none" w:sz="0" w:space="0" w:color="auto"/>
            <w:left w:val="none" w:sz="0" w:space="0" w:color="auto"/>
            <w:bottom w:val="none" w:sz="0" w:space="0" w:color="auto"/>
            <w:right w:val="none" w:sz="0" w:space="0" w:color="auto"/>
          </w:divBdr>
        </w:div>
        <w:div w:id="108621178">
          <w:marLeft w:val="0"/>
          <w:marRight w:val="0"/>
          <w:marTop w:val="0"/>
          <w:marBottom w:val="0"/>
          <w:divBdr>
            <w:top w:val="none" w:sz="0" w:space="0" w:color="auto"/>
            <w:left w:val="none" w:sz="0" w:space="0" w:color="auto"/>
            <w:bottom w:val="none" w:sz="0" w:space="0" w:color="auto"/>
            <w:right w:val="none" w:sz="0" w:space="0" w:color="auto"/>
          </w:divBdr>
        </w:div>
        <w:div w:id="2003661775">
          <w:marLeft w:val="0"/>
          <w:marRight w:val="0"/>
          <w:marTop w:val="0"/>
          <w:marBottom w:val="0"/>
          <w:divBdr>
            <w:top w:val="none" w:sz="0" w:space="0" w:color="auto"/>
            <w:left w:val="none" w:sz="0" w:space="0" w:color="auto"/>
            <w:bottom w:val="none" w:sz="0" w:space="0" w:color="auto"/>
            <w:right w:val="none" w:sz="0" w:space="0" w:color="auto"/>
          </w:divBdr>
        </w:div>
        <w:div w:id="2038961925">
          <w:marLeft w:val="0"/>
          <w:marRight w:val="0"/>
          <w:marTop w:val="0"/>
          <w:marBottom w:val="0"/>
          <w:divBdr>
            <w:top w:val="none" w:sz="0" w:space="0" w:color="auto"/>
            <w:left w:val="none" w:sz="0" w:space="0" w:color="auto"/>
            <w:bottom w:val="none" w:sz="0" w:space="0" w:color="auto"/>
            <w:right w:val="none" w:sz="0" w:space="0" w:color="auto"/>
          </w:divBdr>
        </w:div>
        <w:div w:id="430852949">
          <w:marLeft w:val="0"/>
          <w:marRight w:val="0"/>
          <w:marTop w:val="0"/>
          <w:marBottom w:val="0"/>
          <w:divBdr>
            <w:top w:val="none" w:sz="0" w:space="0" w:color="auto"/>
            <w:left w:val="none" w:sz="0" w:space="0" w:color="auto"/>
            <w:bottom w:val="none" w:sz="0" w:space="0" w:color="auto"/>
            <w:right w:val="none" w:sz="0" w:space="0" w:color="auto"/>
          </w:divBdr>
        </w:div>
        <w:div w:id="405298223">
          <w:marLeft w:val="0"/>
          <w:marRight w:val="0"/>
          <w:marTop w:val="0"/>
          <w:marBottom w:val="0"/>
          <w:divBdr>
            <w:top w:val="none" w:sz="0" w:space="0" w:color="auto"/>
            <w:left w:val="none" w:sz="0" w:space="0" w:color="auto"/>
            <w:bottom w:val="none" w:sz="0" w:space="0" w:color="auto"/>
            <w:right w:val="none" w:sz="0" w:space="0" w:color="auto"/>
          </w:divBdr>
        </w:div>
        <w:div w:id="254752415">
          <w:marLeft w:val="0"/>
          <w:marRight w:val="0"/>
          <w:marTop w:val="0"/>
          <w:marBottom w:val="0"/>
          <w:divBdr>
            <w:top w:val="none" w:sz="0" w:space="0" w:color="auto"/>
            <w:left w:val="none" w:sz="0" w:space="0" w:color="auto"/>
            <w:bottom w:val="none" w:sz="0" w:space="0" w:color="auto"/>
            <w:right w:val="none" w:sz="0" w:space="0" w:color="auto"/>
          </w:divBdr>
        </w:div>
        <w:div w:id="2015067969">
          <w:marLeft w:val="0"/>
          <w:marRight w:val="0"/>
          <w:marTop w:val="0"/>
          <w:marBottom w:val="0"/>
          <w:divBdr>
            <w:top w:val="none" w:sz="0" w:space="0" w:color="auto"/>
            <w:left w:val="none" w:sz="0" w:space="0" w:color="auto"/>
            <w:bottom w:val="none" w:sz="0" w:space="0" w:color="auto"/>
            <w:right w:val="none" w:sz="0" w:space="0" w:color="auto"/>
          </w:divBdr>
        </w:div>
        <w:div w:id="227692032">
          <w:marLeft w:val="0"/>
          <w:marRight w:val="0"/>
          <w:marTop w:val="0"/>
          <w:marBottom w:val="0"/>
          <w:divBdr>
            <w:top w:val="none" w:sz="0" w:space="0" w:color="auto"/>
            <w:left w:val="none" w:sz="0" w:space="0" w:color="auto"/>
            <w:bottom w:val="none" w:sz="0" w:space="0" w:color="auto"/>
            <w:right w:val="none" w:sz="0" w:space="0" w:color="auto"/>
          </w:divBdr>
        </w:div>
        <w:div w:id="90202909">
          <w:marLeft w:val="0"/>
          <w:marRight w:val="0"/>
          <w:marTop w:val="0"/>
          <w:marBottom w:val="0"/>
          <w:divBdr>
            <w:top w:val="none" w:sz="0" w:space="0" w:color="auto"/>
            <w:left w:val="none" w:sz="0" w:space="0" w:color="auto"/>
            <w:bottom w:val="none" w:sz="0" w:space="0" w:color="auto"/>
            <w:right w:val="none" w:sz="0" w:space="0" w:color="auto"/>
          </w:divBdr>
        </w:div>
        <w:div w:id="2094467396">
          <w:marLeft w:val="0"/>
          <w:marRight w:val="0"/>
          <w:marTop w:val="0"/>
          <w:marBottom w:val="0"/>
          <w:divBdr>
            <w:top w:val="none" w:sz="0" w:space="0" w:color="auto"/>
            <w:left w:val="none" w:sz="0" w:space="0" w:color="auto"/>
            <w:bottom w:val="none" w:sz="0" w:space="0" w:color="auto"/>
            <w:right w:val="none" w:sz="0" w:space="0" w:color="auto"/>
          </w:divBdr>
        </w:div>
        <w:div w:id="292173859">
          <w:marLeft w:val="0"/>
          <w:marRight w:val="0"/>
          <w:marTop w:val="0"/>
          <w:marBottom w:val="0"/>
          <w:divBdr>
            <w:top w:val="none" w:sz="0" w:space="0" w:color="auto"/>
            <w:left w:val="none" w:sz="0" w:space="0" w:color="auto"/>
            <w:bottom w:val="none" w:sz="0" w:space="0" w:color="auto"/>
            <w:right w:val="none" w:sz="0" w:space="0" w:color="auto"/>
          </w:divBdr>
        </w:div>
        <w:div w:id="711879809">
          <w:marLeft w:val="0"/>
          <w:marRight w:val="0"/>
          <w:marTop w:val="0"/>
          <w:marBottom w:val="0"/>
          <w:divBdr>
            <w:top w:val="none" w:sz="0" w:space="0" w:color="auto"/>
            <w:left w:val="none" w:sz="0" w:space="0" w:color="auto"/>
            <w:bottom w:val="none" w:sz="0" w:space="0" w:color="auto"/>
            <w:right w:val="none" w:sz="0" w:space="0" w:color="auto"/>
          </w:divBdr>
        </w:div>
        <w:div w:id="997420789">
          <w:marLeft w:val="0"/>
          <w:marRight w:val="0"/>
          <w:marTop w:val="0"/>
          <w:marBottom w:val="0"/>
          <w:divBdr>
            <w:top w:val="none" w:sz="0" w:space="0" w:color="auto"/>
            <w:left w:val="none" w:sz="0" w:space="0" w:color="auto"/>
            <w:bottom w:val="none" w:sz="0" w:space="0" w:color="auto"/>
            <w:right w:val="none" w:sz="0" w:space="0" w:color="auto"/>
          </w:divBdr>
        </w:div>
        <w:div w:id="1517307617">
          <w:marLeft w:val="0"/>
          <w:marRight w:val="0"/>
          <w:marTop w:val="0"/>
          <w:marBottom w:val="0"/>
          <w:divBdr>
            <w:top w:val="none" w:sz="0" w:space="0" w:color="auto"/>
            <w:left w:val="none" w:sz="0" w:space="0" w:color="auto"/>
            <w:bottom w:val="none" w:sz="0" w:space="0" w:color="auto"/>
            <w:right w:val="none" w:sz="0" w:space="0" w:color="auto"/>
          </w:divBdr>
        </w:div>
        <w:div w:id="1082869420">
          <w:marLeft w:val="0"/>
          <w:marRight w:val="0"/>
          <w:marTop w:val="0"/>
          <w:marBottom w:val="0"/>
          <w:divBdr>
            <w:top w:val="none" w:sz="0" w:space="0" w:color="auto"/>
            <w:left w:val="none" w:sz="0" w:space="0" w:color="auto"/>
            <w:bottom w:val="none" w:sz="0" w:space="0" w:color="auto"/>
            <w:right w:val="none" w:sz="0" w:space="0" w:color="auto"/>
          </w:divBdr>
        </w:div>
        <w:div w:id="1292596929">
          <w:marLeft w:val="0"/>
          <w:marRight w:val="0"/>
          <w:marTop w:val="0"/>
          <w:marBottom w:val="0"/>
          <w:divBdr>
            <w:top w:val="none" w:sz="0" w:space="0" w:color="auto"/>
            <w:left w:val="none" w:sz="0" w:space="0" w:color="auto"/>
            <w:bottom w:val="none" w:sz="0" w:space="0" w:color="auto"/>
            <w:right w:val="none" w:sz="0" w:space="0" w:color="auto"/>
          </w:divBdr>
        </w:div>
        <w:div w:id="1981380536">
          <w:marLeft w:val="0"/>
          <w:marRight w:val="0"/>
          <w:marTop w:val="0"/>
          <w:marBottom w:val="0"/>
          <w:divBdr>
            <w:top w:val="none" w:sz="0" w:space="0" w:color="auto"/>
            <w:left w:val="none" w:sz="0" w:space="0" w:color="auto"/>
            <w:bottom w:val="none" w:sz="0" w:space="0" w:color="auto"/>
            <w:right w:val="none" w:sz="0" w:space="0" w:color="auto"/>
          </w:divBdr>
        </w:div>
        <w:div w:id="55055890">
          <w:marLeft w:val="0"/>
          <w:marRight w:val="0"/>
          <w:marTop w:val="0"/>
          <w:marBottom w:val="0"/>
          <w:divBdr>
            <w:top w:val="none" w:sz="0" w:space="0" w:color="auto"/>
            <w:left w:val="none" w:sz="0" w:space="0" w:color="auto"/>
            <w:bottom w:val="none" w:sz="0" w:space="0" w:color="auto"/>
            <w:right w:val="none" w:sz="0" w:space="0" w:color="auto"/>
          </w:divBdr>
        </w:div>
        <w:div w:id="1172376640">
          <w:marLeft w:val="0"/>
          <w:marRight w:val="0"/>
          <w:marTop w:val="0"/>
          <w:marBottom w:val="0"/>
          <w:divBdr>
            <w:top w:val="none" w:sz="0" w:space="0" w:color="auto"/>
            <w:left w:val="none" w:sz="0" w:space="0" w:color="auto"/>
            <w:bottom w:val="none" w:sz="0" w:space="0" w:color="auto"/>
            <w:right w:val="none" w:sz="0" w:space="0" w:color="auto"/>
          </w:divBdr>
        </w:div>
        <w:div w:id="183634863">
          <w:marLeft w:val="0"/>
          <w:marRight w:val="0"/>
          <w:marTop w:val="0"/>
          <w:marBottom w:val="0"/>
          <w:divBdr>
            <w:top w:val="none" w:sz="0" w:space="0" w:color="auto"/>
            <w:left w:val="none" w:sz="0" w:space="0" w:color="auto"/>
            <w:bottom w:val="none" w:sz="0" w:space="0" w:color="auto"/>
            <w:right w:val="none" w:sz="0" w:space="0" w:color="auto"/>
          </w:divBdr>
        </w:div>
        <w:div w:id="927154753">
          <w:marLeft w:val="0"/>
          <w:marRight w:val="0"/>
          <w:marTop w:val="0"/>
          <w:marBottom w:val="0"/>
          <w:divBdr>
            <w:top w:val="none" w:sz="0" w:space="0" w:color="auto"/>
            <w:left w:val="none" w:sz="0" w:space="0" w:color="auto"/>
            <w:bottom w:val="none" w:sz="0" w:space="0" w:color="auto"/>
            <w:right w:val="none" w:sz="0" w:space="0" w:color="auto"/>
          </w:divBdr>
        </w:div>
        <w:div w:id="1252546537">
          <w:marLeft w:val="0"/>
          <w:marRight w:val="0"/>
          <w:marTop w:val="0"/>
          <w:marBottom w:val="0"/>
          <w:divBdr>
            <w:top w:val="none" w:sz="0" w:space="0" w:color="auto"/>
            <w:left w:val="none" w:sz="0" w:space="0" w:color="auto"/>
            <w:bottom w:val="none" w:sz="0" w:space="0" w:color="auto"/>
            <w:right w:val="none" w:sz="0" w:space="0" w:color="auto"/>
          </w:divBdr>
        </w:div>
        <w:div w:id="446437695">
          <w:marLeft w:val="0"/>
          <w:marRight w:val="0"/>
          <w:marTop w:val="0"/>
          <w:marBottom w:val="0"/>
          <w:divBdr>
            <w:top w:val="none" w:sz="0" w:space="0" w:color="auto"/>
            <w:left w:val="none" w:sz="0" w:space="0" w:color="auto"/>
            <w:bottom w:val="none" w:sz="0" w:space="0" w:color="auto"/>
            <w:right w:val="none" w:sz="0" w:space="0" w:color="auto"/>
          </w:divBdr>
        </w:div>
        <w:div w:id="234321543">
          <w:marLeft w:val="0"/>
          <w:marRight w:val="0"/>
          <w:marTop w:val="0"/>
          <w:marBottom w:val="0"/>
          <w:divBdr>
            <w:top w:val="none" w:sz="0" w:space="0" w:color="auto"/>
            <w:left w:val="none" w:sz="0" w:space="0" w:color="auto"/>
            <w:bottom w:val="none" w:sz="0" w:space="0" w:color="auto"/>
            <w:right w:val="none" w:sz="0" w:space="0" w:color="auto"/>
          </w:divBdr>
        </w:div>
        <w:div w:id="1445922421">
          <w:marLeft w:val="0"/>
          <w:marRight w:val="0"/>
          <w:marTop w:val="0"/>
          <w:marBottom w:val="0"/>
          <w:divBdr>
            <w:top w:val="none" w:sz="0" w:space="0" w:color="auto"/>
            <w:left w:val="none" w:sz="0" w:space="0" w:color="auto"/>
            <w:bottom w:val="none" w:sz="0" w:space="0" w:color="auto"/>
            <w:right w:val="none" w:sz="0" w:space="0" w:color="auto"/>
          </w:divBdr>
        </w:div>
        <w:div w:id="1083381348">
          <w:marLeft w:val="0"/>
          <w:marRight w:val="0"/>
          <w:marTop w:val="0"/>
          <w:marBottom w:val="0"/>
          <w:divBdr>
            <w:top w:val="none" w:sz="0" w:space="0" w:color="auto"/>
            <w:left w:val="none" w:sz="0" w:space="0" w:color="auto"/>
            <w:bottom w:val="none" w:sz="0" w:space="0" w:color="auto"/>
            <w:right w:val="none" w:sz="0" w:space="0" w:color="auto"/>
          </w:divBdr>
        </w:div>
        <w:div w:id="70926866">
          <w:marLeft w:val="0"/>
          <w:marRight w:val="0"/>
          <w:marTop w:val="0"/>
          <w:marBottom w:val="0"/>
          <w:divBdr>
            <w:top w:val="none" w:sz="0" w:space="0" w:color="auto"/>
            <w:left w:val="none" w:sz="0" w:space="0" w:color="auto"/>
            <w:bottom w:val="none" w:sz="0" w:space="0" w:color="auto"/>
            <w:right w:val="none" w:sz="0" w:space="0" w:color="auto"/>
          </w:divBdr>
        </w:div>
        <w:div w:id="1519998685">
          <w:marLeft w:val="0"/>
          <w:marRight w:val="0"/>
          <w:marTop w:val="0"/>
          <w:marBottom w:val="0"/>
          <w:divBdr>
            <w:top w:val="none" w:sz="0" w:space="0" w:color="auto"/>
            <w:left w:val="none" w:sz="0" w:space="0" w:color="auto"/>
            <w:bottom w:val="none" w:sz="0" w:space="0" w:color="auto"/>
            <w:right w:val="none" w:sz="0" w:space="0" w:color="auto"/>
          </w:divBdr>
        </w:div>
        <w:div w:id="192159804">
          <w:marLeft w:val="0"/>
          <w:marRight w:val="0"/>
          <w:marTop w:val="0"/>
          <w:marBottom w:val="0"/>
          <w:divBdr>
            <w:top w:val="none" w:sz="0" w:space="0" w:color="auto"/>
            <w:left w:val="none" w:sz="0" w:space="0" w:color="auto"/>
            <w:bottom w:val="none" w:sz="0" w:space="0" w:color="auto"/>
            <w:right w:val="none" w:sz="0" w:space="0" w:color="auto"/>
          </w:divBdr>
        </w:div>
        <w:div w:id="786660832">
          <w:marLeft w:val="0"/>
          <w:marRight w:val="0"/>
          <w:marTop w:val="0"/>
          <w:marBottom w:val="0"/>
          <w:divBdr>
            <w:top w:val="none" w:sz="0" w:space="0" w:color="auto"/>
            <w:left w:val="none" w:sz="0" w:space="0" w:color="auto"/>
            <w:bottom w:val="none" w:sz="0" w:space="0" w:color="auto"/>
            <w:right w:val="none" w:sz="0" w:space="0" w:color="auto"/>
          </w:divBdr>
        </w:div>
        <w:div w:id="655567824">
          <w:marLeft w:val="0"/>
          <w:marRight w:val="0"/>
          <w:marTop w:val="0"/>
          <w:marBottom w:val="0"/>
          <w:divBdr>
            <w:top w:val="none" w:sz="0" w:space="0" w:color="auto"/>
            <w:left w:val="none" w:sz="0" w:space="0" w:color="auto"/>
            <w:bottom w:val="none" w:sz="0" w:space="0" w:color="auto"/>
            <w:right w:val="none" w:sz="0" w:space="0" w:color="auto"/>
          </w:divBdr>
        </w:div>
        <w:div w:id="1777482561">
          <w:marLeft w:val="0"/>
          <w:marRight w:val="0"/>
          <w:marTop w:val="0"/>
          <w:marBottom w:val="0"/>
          <w:divBdr>
            <w:top w:val="none" w:sz="0" w:space="0" w:color="auto"/>
            <w:left w:val="none" w:sz="0" w:space="0" w:color="auto"/>
            <w:bottom w:val="none" w:sz="0" w:space="0" w:color="auto"/>
            <w:right w:val="none" w:sz="0" w:space="0" w:color="auto"/>
          </w:divBdr>
        </w:div>
        <w:div w:id="958729352">
          <w:marLeft w:val="0"/>
          <w:marRight w:val="0"/>
          <w:marTop w:val="0"/>
          <w:marBottom w:val="0"/>
          <w:divBdr>
            <w:top w:val="none" w:sz="0" w:space="0" w:color="auto"/>
            <w:left w:val="none" w:sz="0" w:space="0" w:color="auto"/>
            <w:bottom w:val="none" w:sz="0" w:space="0" w:color="auto"/>
            <w:right w:val="none" w:sz="0" w:space="0" w:color="auto"/>
          </w:divBdr>
        </w:div>
        <w:div w:id="1037510874">
          <w:marLeft w:val="0"/>
          <w:marRight w:val="0"/>
          <w:marTop w:val="0"/>
          <w:marBottom w:val="0"/>
          <w:divBdr>
            <w:top w:val="none" w:sz="0" w:space="0" w:color="auto"/>
            <w:left w:val="none" w:sz="0" w:space="0" w:color="auto"/>
            <w:bottom w:val="none" w:sz="0" w:space="0" w:color="auto"/>
            <w:right w:val="none" w:sz="0" w:space="0" w:color="auto"/>
          </w:divBdr>
        </w:div>
        <w:div w:id="1093353774">
          <w:marLeft w:val="0"/>
          <w:marRight w:val="0"/>
          <w:marTop w:val="0"/>
          <w:marBottom w:val="0"/>
          <w:divBdr>
            <w:top w:val="none" w:sz="0" w:space="0" w:color="auto"/>
            <w:left w:val="none" w:sz="0" w:space="0" w:color="auto"/>
            <w:bottom w:val="none" w:sz="0" w:space="0" w:color="auto"/>
            <w:right w:val="none" w:sz="0" w:space="0" w:color="auto"/>
          </w:divBdr>
        </w:div>
        <w:div w:id="522785994">
          <w:marLeft w:val="0"/>
          <w:marRight w:val="0"/>
          <w:marTop w:val="0"/>
          <w:marBottom w:val="0"/>
          <w:divBdr>
            <w:top w:val="none" w:sz="0" w:space="0" w:color="auto"/>
            <w:left w:val="none" w:sz="0" w:space="0" w:color="auto"/>
            <w:bottom w:val="none" w:sz="0" w:space="0" w:color="auto"/>
            <w:right w:val="none" w:sz="0" w:space="0" w:color="auto"/>
          </w:divBdr>
        </w:div>
        <w:div w:id="401412188">
          <w:marLeft w:val="0"/>
          <w:marRight w:val="0"/>
          <w:marTop w:val="0"/>
          <w:marBottom w:val="0"/>
          <w:divBdr>
            <w:top w:val="none" w:sz="0" w:space="0" w:color="auto"/>
            <w:left w:val="none" w:sz="0" w:space="0" w:color="auto"/>
            <w:bottom w:val="none" w:sz="0" w:space="0" w:color="auto"/>
            <w:right w:val="none" w:sz="0" w:space="0" w:color="auto"/>
          </w:divBdr>
        </w:div>
        <w:div w:id="639383547">
          <w:marLeft w:val="0"/>
          <w:marRight w:val="0"/>
          <w:marTop w:val="0"/>
          <w:marBottom w:val="0"/>
          <w:divBdr>
            <w:top w:val="none" w:sz="0" w:space="0" w:color="auto"/>
            <w:left w:val="none" w:sz="0" w:space="0" w:color="auto"/>
            <w:bottom w:val="none" w:sz="0" w:space="0" w:color="auto"/>
            <w:right w:val="none" w:sz="0" w:space="0" w:color="auto"/>
          </w:divBdr>
        </w:div>
        <w:div w:id="813721574">
          <w:marLeft w:val="0"/>
          <w:marRight w:val="0"/>
          <w:marTop w:val="0"/>
          <w:marBottom w:val="0"/>
          <w:divBdr>
            <w:top w:val="none" w:sz="0" w:space="0" w:color="auto"/>
            <w:left w:val="none" w:sz="0" w:space="0" w:color="auto"/>
            <w:bottom w:val="none" w:sz="0" w:space="0" w:color="auto"/>
            <w:right w:val="none" w:sz="0" w:space="0" w:color="auto"/>
          </w:divBdr>
        </w:div>
        <w:div w:id="345521915">
          <w:marLeft w:val="0"/>
          <w:marRight w:val="0"/>
          <w:marTop w:val="0"/>
          <w:marBottom w:val="0"/>
          <w:divBdr>
            <w:top w:val="none" w:sz="0" w:space="0" w:color="auto"/>
            <w:left w:val="none" w:sz="0" w:space="0" w:color="auto"/>
            <w:bottom w:val="none" w:sz="0" w:space="0" w:color="auto"/>
            <w:right w:val="none" w:sz="0" w:space="0" w:color="auto"/>
          </w:divBdr>
        </w:div>
        <w:div w:id="814764657">
          <w:marLeft w:val="0"/>
          <w:marRight w:val="0"/>
          <w:marTop w:val="0"/>
          <w:marBottom w:val="0"/>
          <w:divBdr>
            <w:top w:val="none" w:sz="0" w:space="0" w:color="auto"/>
            <w:left w:val="none" w:sz="0" w:space="0" w:color="auto"/>
            <w:bottom w:val="none" w:sz="0" w:space="0" w:color="auto"/>
            <w:right w:val="none" w:sz="0" w:space="0" w:color="auto"/>
          </w:divBdr>
        </w:div>
        <w:div w:id="1200816897">
          <w:marLeft w:val="0"/>
          <w:marRight w:val="0"/>
          <w:marTop w:val="0"/>
          <w:marBottom w:val="0"/>
          <w:divBdr>
            <w:top w:val="none" w:sz="0" w:space="0" w:color="auto"/>
            <w:left w:val="none" w:sz="0" w:space="0" w:color="auto"/>
            <w:bottom w:val="none" w:sz="0" w:space="0" w:color="auto"/>
            <w:right w:val="none" w:sz="0" w:space="0" w:color="auto"/>
          </w:divBdr>
        </w:div>
        <w:div w:id="862479951">
          <w:marLeft w:val="0"/>
          <w:marRight w:val="0"/>
          <w:marTop w:val="0"/>
          <w:marBottom w:val="0"/>
          <w:divBdr>
            <w:top w:val="none" w:sz="0" w:space="0" w:color="auto"/>
            <w:left w:val="none" w:sz="0" w:space="0" w:color="auto"/>
            <w:bottom w:val="none" w:sz="0" w:space="0" w:color="auto"/>
            <w:right w:val="none" w:sz="0" w:space="0" w:color="auto"/>
          </w:divBdr>
        </w:div>
        <w:div w:id="302395684">
          <w:marLeft w:val="0"/>
          <w:marRight w:val="0"/>
          <w:marTop w:val="0"/>
          <w:marBottom w:val="0"/>
          <w:divBdr>
            <w:top w:val="none" w:sz="0" w:space="0" w:color="auto"/>
            <w:left w:val="none" w:sz="0" w:space="0" w:color="auto"/>
            <w:bottom w:val="none" w:sz="0" w:space="0" w:color="auto"/>
            <w:right w:val="none" w:sz="0" w:space="0" w:color="auto"/>
          </w:divBdr>
        </w:div>
        <w:div w:id="1262564833">
          <w:marLeft w:val="0"/>
          <w:marRight w:val="0"/>
          <w:marTop w:val="0"/>
          <w:marBottom w:val="0"/>
          <w:divBdr>
            <w:top w:val="none" w:sz="0" w:space="0" w:color="auto"/>
            <w:left w:val="none" w:sz="0" w:space="0" w:color="auto"/>
            <w:bottom w:val="none" w:sz="0" w:space="0" w:color="auto"/>
            <w:right w:val="none" w:sz="0" w:space="0" w:color="auto"/>
          </w:divBdr>
        </w:div>
        <w:div w:id="159077284">
          <w:marLeft w:val="0"/>
          <w:marRight w:val="0"/>
          <w:marTop w:val="0"/>
          <w:marBottom w:val="0"/>
          <w:divBdr>
            <w:top w:val="none" w:sz="0" w:space="0" w:color="auto"/>
            <w:left w:val="none" w:sz="0" w:space="0" w:color="auto"/>
            <w:bottom w:val="none" w:sz="0" w:space="0" w:color="auto"/>
            <w:right w:val="none" w:sz="0" w:space="0" w:color="auto"/>
          </w:divBdr>
        </w:div>
        <w:div w:id="1464733475">
          <w:marLeft w:val="0"/>
          <w:marRight w:val="0"/>
          <w:marTop w:val="0"/>
          <w:marBottom w:val="0"/>
          <w:divBdr>
            <w:top w:val="none" w:sz="0" w:space="0" w:color="auto"/>
            <w:left w:val="none" w:sz="0" w:space="0" w:color="auto"/>
            <w:bottom w:val="none" w:sz="0" w:space="0" w:color="auto"/>
            <w:right w:val="none" w:sz="0" w:space="0" w:color="auto"/>
          </w:divBdr>
        </w:div>
        <w:div w:id="1176849462">
          <w:marLeft w:val="0"/>
          <w:marRight w:val="0"/>
          <w:marTop w:val="0"/>
          <w:marBottom w:val="0"/>
          <w:divBdr>
            <w:top w:val="none" w:sz="0" w:space="0" w:color="auto"/>
            <w:left w:val="none" w:sz="0" w:space="0" w:color="auto"/>
            <w:bottom w:val="none" w:sz="0" w:space="0" w:color="auto"/>
            <w:right w:val="none" w:sz="0" w:space="0" w:color="auto"/>
          </w:divBdr>
        </w:div>
        <w:div w:id="1267078739">
          <w:marLeft w:val="0"/>
          <w:marRight w:val="0"/>
          <w:marTop w:val="0"/>
          <w:marBottom w:val="0"/>
          <w:divBdr>
            <w:top w:val="none" w:sz="0" w:space="0" w:color="auto"/>
            <w:left w:val="none" w:sz="0" w:space="0" w:color="auto"/>
            <w:bottom w:val="none" w:sz="0" w:space="0" w:color="auto"/>
            <w:right w:val="none" w:sz="0" w:space="0" w:color="auto"/>
          </w:divBdr>
        </w:div>
        <w:div w:id="1824160981">
          <w:marLeft w:val="0"/>
          <w:marRight w:val="0"/>
          <w:marTop w:val="0"/>
          <w:marBottom w:val="0"/>
          <w:divBdr>
            <w:top w:val="none" w:sz="0" w:space="0" w:color="auto"/>
            <w:left w:val="none" w:sz="0" w:space="0" w:color="auto"/>
            <w:bottom w:val="none" w:sz="0" w:space="0" w:color="auto"/>
            <w:right w:val="none" w:sz="0" w:space="0" w:color="auto"/>
          </w:divBdr>
        </w:div>
        <w:div w:id="766000338">
          <w:marLeft w:val="0"/>
          <w:marRight w:val="0"/>
          <w:marTop w:val="0"/>
          <w:marBottom w:val="0"/>
          <w:divBdr>
            <w:top w:val="none" w:sz="0" w:space="0" w:color="auto"/>
            <w:left w:val="none" w:sz="0" w:space="0" w:color="auto"/>
            <w:bottom w:val="none" w:sz="0" w:space="0" w:color="auto"/>
            <w:right w:val="none" w:sz="0" w:space="0" w:color="auto"/>
          </w:divBdr>
        </w:div>
        <w:div w:id="1392190424">
          <w:marLeft w:val="0"/>
          <w:marRight w:val="0"/>
          <w:marTop w:val="0"/>
          <w:marBottom w:val="0"/>
          <w:divBdr>
            <w:top w:val="none" w:sz="0" w:space="0" w:color="auto"/>
            <w:left w:val="none" w:sz="0" w:space="0" w:color="auto"/>
            <w:bottom w:val="none" w:sz="0" w:space="0" w:color="auto"/>
            <w:right w:val="none" w:sz="0" w:space="0" w:color="auto"/>
          </w:divBdr>
        </w:div>
        <w:div w:id="669144460">
          <w:marLeft w:val="0"/>
          <w:marRight w:val="0"/>
          <w:marTop w:val="0"/>
          <w:marBottom w:val="0"/>
          <w:divBdr>
            <w:top w:val="none" w:sz="0" w:space="0" w:color="auto"/>
            <w:left w:val="none" w:sz="0" w:space="0" w:color="auto"/>
            <w:bottom w:val="none" w:sz="0" w:space="0" w:color="auto"/>
            <w:right w:val="none" w:sz="0" w:space="0" w:color="auto"/>
          </w:divBdr>
        </w:div>
        <w:div w:id="1957129271">
          <w:marLeft w:val="0"/>
          <w:marRight w:val="0"/>
          <w:marTop w:val="0"/>
          <w:marBottom w:val="0"/>
          <w:divBdr>
            <w:top w:val="none" w:sz="0" w:space="0" w:color="auto"/>
            <w:left w:val="none" w:sz="0" w:space="0" w:color="auto"/>
            <w:bottom w:val="none" w:sz="0" w:space="0" w:color="auto"/>
            <w:right w:val="none" w:sz="0" w:space="0" w:color="auto"/>
          </w:divBdr>
        </w:div>
        <w:div w:id="758989319">
          <w:marLeft w:val="0"/>
          <w:marRight w:val="0"/>
          <w:marTop w:val="0"/>
          <w:marBottom w:val="0"/>
          <w:divBdr>
            <w:top w:val="none" w:sz="0" w:space="0" w:color="auto"/>
            <w:left w:val="none" w:sz="0" w:space="0" w:color="auto"/>
            <w:bottom w:val="none" w:sz="0" w:space="0" w:color="auto"/>
            <w:right w:val="none" w:sz="0" w:space="0" w:color="auto"/>
          </w:divBdr>
        </w:div>
        <w:div w:id="878131252">
          <w:marLeft w:val="0"/>
          <w:marRight w:val="0"/>
          <w:marTop w:val="0"/>
          <w:marBottom w:val="0"/>
          <w:divBdr>
            <w:top w:val="none" w:sz="0" w:space="0" w:color="auto"/>
            <w:left w:val="none" w:sz="0" w:space="0" w:color="auto"/>
            <w:bottom w:val="none" w:sz="0" w:space="0" w:color="auto"/>
            <w:right w:val="none" w:sz="0" w:space="0" w:color="auto"/>
          </w:divBdr>
        </w:div>
        <w:div w:id="1230386327">
          <w:marLeft w:val="0"/>
          <w:marRight w:val="0"/>
          <w:marTop w:val="0"/>
          <w:marBottom w:val="0"/>
          <w:divBdr>
            <w:top w:val="none" w:sz="0" w:space="0" w:color="auto"/>
            <w:left w:val="none" w:sz="0" w:space="0" w:color="auto"/>
            <w:bottom w:val="none" w:sz="0" w:space="0" w:color="auto"/>
            <w:right w:val="none" w:sz="0" w:space="0" w:color="auto"/>
          </w:divBdr>
        </w:div>
        <w:div w:id="722946828">
          <w:marLeft w:val="0"/>
          <w:marRight w:val="0"/>
          <w:marTop w:val="0"/>
          <w:marBottom w:val="0"/>
          <w:divBdr>
            <w:top w:val="none" w:sz="0" w:space="0" w:color="auto"/>
            <w:left w:val="none" w:sz="0" w:space="0" w:color="auto"/>
            <w:bottom w:val="none" w:sz="0" w:space="0" w:color="auto"/>
            <w:right w:val="none" w:sz="0" w:space="0" w:color="auto"/>
          </w:divBdr>
        </w:div>
        <w:div w:id="698899813">
          <w:marLeft w:val="0"/>
          <w:marRight w:val="0"/>
          <w:marTop w:val="0"/>
          <w:marBottom w:val="0"/>
          <w:divBdr>
            <w:top w:val="none" w:sz="0" w:space="0" w:color="auto"/>
            <w:left w:val="none" w:sz="0" w:space="0" w:color="auto"/>
            <w:bottom w:val="none" w:sz="0" w:space="0" w:color="auto"/>
            <w:right w:val="none" w:sz="0" w:space="0" w:color="auto"/>
          </w:divBdr>
        </w:div>
        <w:div w:id="281807024">
          <w:marLeft w:val="0"/>
          <w:marRight w:val="0"/>
          <w:marTop w:val="0"/>
          <w:marBottom w:val="0"/>
          <w:divBdr>
            <w:top w:val="none" w:sz="0" w:space="0" w:color="auto"/>
            <w:left w:val="none" w:sz="0" w:space="0" w:color="auto"/>
            <w:bottom w:val="none" w:sz="0" w:space="0" w:color="auto"/>
            <w:right w:val="none" w:sz="0" w:space="0" w:color="auto"/>
          </w:divBdr>
        </w:div>
        <w:div w:id="1182747150">
          <w:marLeft w:val="0"/>
          <w:marRight w:val="0"/>
          <w:marTop w:val="0"/>
          <w:marBottom w:val="0"/>
          <w:divBdr>
            <w:top w:val="none" w:sz="0" w:space="0" w:color="auto"/>
            <w:left w:val="none" w:sz="0" w:space="0" w:color="auto"/>
            <w:bottom w:val="single" w:sz="6" w:space="0" w:color="000000"/>
            <w:right w:val="none" w:sz="0" w:space="0" w:color="auto"/>
          </w:divBdr>
        </w:div>
        <w:div w:id="428745853">
          <w:marLeft w:val="0"/>
          <w:marRight w:val="0"/>
          <w:marTop w:val="0"/>
          <w:marBottom w:val="0"/>
          <w:divBdr>
            <w:top w:val="none" w:sz="0" w:space="0" w:color="auto"/>
            <w:left w:val="none" w:sz="0" w:space="0" w:color="auto"/>
            <w:bottom w:val="none" w:sz="0" w:space="0" w:color="auto"/>
            <w:right w:val="none" w:sz="0" w:space="0" w:color="auto"/>
          </w:divBdr>
        </w:div>
        <w:div w:id="1608469170">
          <w:marLeft w:val="0"/>
          <w:marRight w:val="0"/>
          <w:marTop w:val="0"/>
          <w:marBottom w:val="0"/>
          <w:divBdr>
            <w:top w:val="none" w:sz="0" w:space="0" w:color="auto"/>
            <w:left w:val="none" w:sz="0" w:space="0" w:color="auto"/>
            <w:bottom w:val="none" w:sz="0" w:space="0" w:color="auto"/>
            <w:right w:val="none" w:sz="0" w:space="0" w:color="auto"/>
          </w:divBdr>
        </w:div>
        <w:div w:id="672995533">
          <w:marLeft w:val="0"/>
          <w:marRight w:val="0"/>
          <w:marTop w:val="0"/>
          <w:marBottom w:val="0"/>
          <w:divBdr>
            <w:top w:val="none" w:sz="0" w:space="0" w:color="auto"/>
            <w:left w:val="none" w:sz="0" w:space="0" w:color="auto"/>
            <w:bottom w:val="none" w:sz="0" w:space="0" w:color="auto"/>
            <w:right w:val="none" w:sz="0" w:space="0" w:color="auto"/>
          </w:divBdr>
        </w:div>
        <w:div w:id="420878868">
          <w:marLeft w:val="0"/>
          <w:marRight w:val="0"/>
          <w:marTop w:val="0"/>
          <w:marBottom w:val="0"/>
          <w:divBdr>
            <w:top w:val="none" w:sz="0" w:space="0" w:color="auto"/>
            <w:left w:val="none" w:sz="0" w:space="0" w:color="auto"/>
            <w:bottom w:val="none" w:sz="0" w:space="0" w:color="auto"/>
            <w:right w:val="none" w:sz="0" w:space="0" w:color="auto"/>
          </w:divBdr>
        </w:div>
        <w:div w:id="74863249">
          <w:marLeft w:val="0"/>
          <w:marRight w:val="0"/>
          <w:marTop w:val="0"/>
          <w:marBottom w:val="0"/>
          <w:divBdr>
            <w:top w:val="none" w:sz="0" w:space="0" w:color="auto"/>
            <w:left w:val="none" w:sz="0" w:space="0" w:color="auto"/>
            <w:bottom w:val="none" w:sz="0" w:space="0" w:color="auto"/>
            <w:right w:val="none" w:sz="0" w:space="0" w:color="auto"/>
          </w:divBdr>
        </w:div>
        <w:div w:id="1440754968">
          <w:marLeft w:val="0"/>
          <w:marRight w:val="0"/>
          <w:marTop w:val="0"/>
          <w:marBottom w:val="0"/>
          <w:divBdr>
            <w:top w:val="none" w:sz="0" w:space="0" w:color="auto"/>
            <w:left w:val="none" w:sz="0" w:space="0" w:color="auto"/>
            <w:bottom w:val="none" w:sz="0" w:space="0" w:color="auto"/>
            <w:right w:val="none" w:sz="0" w:space="0" w:color="auto"/>
          </w:divBdr>
        </w:div>
        <w:div w:id="1557329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4434</Words>
  <Characters>25276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29651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Sabrina Krejci (s)</cp:lastModifiedBy>
  <cp:revision>2</cp:revision>
  <dcterms:created xsi:type="dcterms:W3CDTF">2025-09-04T18:57:00Z</dcterms:created>
  <dcterms:modified xsi:type="dcterms:W3CDTF">2025-09-04T18:57:00Z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ff1707e1-0089-4d9b-aaee-a03a8541e8aa</vt:lpwstr>
  </property>
</Properties>
</file>