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35AC" w14:textId="77777777" w:rsidR="00C74D95" w:rsidRPr="00275810" w:rsidRDefault="008C0CF6">
      <w:pPr>
        <w:spacing w:after="0"/>
        <w:divId w:val="1736902145"/>
        <w:rPr>
          <w:rFonts w:ascii="Arial" w:eastAsia="Times New Roman" w:hAnsi="Arial" w:cs="Arial"/>
          <w:b/>
          <w:bCs/>
          <w:sz w:val="30"/>
          <w:szCs w:val="30"/>
          <w:lang w:val="en"/>
        </w:rPr>
      </w:pPr>
      <w:r w:rsidRPr="00275810">
        <w:rPr>
          <w:rFonts w:ascii="Arial" w:eastAsia="Times New Roman" w:hAnsi="Arial" w:cs="Arial"/>
          <w:b/>
          <w:bCs/>
          <w:sz w:val="30"/>
          <w:szCs w:val="30"/>
          <w:lang w:val="en"/>
        </w:rPr>
        <w:t>Protocol for the Examination of TURP and Enucleation Specimens From Patients With Carcinoma of the Prostate Gland</w:t>
      </w:r>
    </w:p>
    <w:p w14:paraId="5B23FC25" w14:textId="77777777" w:rsidR="00C74D95" w:rsidRPr="00275810" w:rsidRDefault="00C74D95">
      <w:pPr>
        <w:spacing w:after="0"/>
        <w:divId w:val="795563961"/>
        <w:rPr>
          <w:rFonts w:ascii="Arial" w:eastAsia="Times New Roman" w:hAnsi="Arial" w:cs="Arial"/>
          <w:sz w:val="20"/>
          <w:szCs w:val="20"/>
          <w:lang w:val="en"/>
        </w:rPr>
      </w:pPr>
    </w:p>
    <w:p w14:paraId="0E8D109B" w14:textId="77777777" w:rsidR="00C74D95" w:rsidRPr="00275810" w:rsidRDefault="008C0CF6">
      <w:pPr>
        <w:spacing w:after="0"/>
        <w:divId w:val="1515728389"/>
        <w:rPr>
          <w:rFonts w:ascii="Arial" w:eastAsia="Times New Roman" w:hAnsi="Arial" w:cs="Arial"/>
          <w:sz w:val="20"/>
          <w:szCs w:val="20"/>
          <w:lang w:val="en"/>
        </w:rPr>
      </w:pPr>
      <w:r w:rsidRPr="00275810">
        <w:rPr>
          <w:rFonts w:ascii="Arial" w:eastAsia="Times New Roman" w:hAnsi="Arial" w:cs="Arial"/>
          <w:b/>
          <w:bCs/>
          <w:sz w:val="20"/>
          <w:szCs w:val="20"/>
          <w:lang w:val="en"/>
        </w:rPr>
        <w:t xml:space="preserve">Version: </w:t>
      </w:r>
      <w:r w:rsidRPr="00275810">
        <w:rPr>
          <w:rFonts w:ascii="Arial" w:eastAsia="Times New Roman" w:hAnsi="Arial" w:cs="Arial"/>
          <w:sz w:val="20"/>
          <w:szCs w:val="20"/>
          <w:lang w:val="en"/>
        </w:rPr>
        <w:t>4.1.0.0</w:t>
      </w:r>
    </w:p>
    <w:p w14:paraId="54C2B2C5" w14:textId="77777777" w:rsidR="00C74D95" w:rsidRPr="00275810" w:rsidRDefault="008C0CF6">
      <w:pPr>
        <w:spacing w:after="0"/>
        <w:divId w:val="316494390"/>
        <w:rPr>
          <w:rFonts w:ascii="Arial" w:eastAsia="Times New Roman" w:hAnsi="Arial" w:cs="Arial"/>
          <w:sz w:val="20"/>
          <w:szCs w:val="20"/>
          <w:lang w:val="en"/>
        </w:rPr>
      </w:pPr>
      <w:r w:rsidRPr="00275810">
        <w:rPr>
          <w:rFonts w:ascii="Arial" w:eastAsia="Times New Roman" w:hAnsi="Arial" w:cs="Arial"/>
          <w:b/>
          <w:bCs/>
          <w:sz w:val="20"/>
          <w:szCs w:val="20"/>
          <w:lang w:val="en"/>
        </w:rPr>
        <w:t xml:space="preserve">Protocol Posting Date: </w:t>
      </w:r>
      <w:r w:rsidRPr="00275810">
        <w:rPr>
          <w:rFonts w:ascii="Arial" w:eastAsia="Times New Roman" w:hAnsi="Arial" w:cs="Arial"/>
          <w:sz w:val="20"/>
          <w:szCs w:val="20"/>
          <w:lang w:val="en"/>
        </w:rPr>
        <w:t xml:space="preserve">June 2021 </w:t>
      </w:r>
    </w:p>
    <w:p w14:paraId="4C510CB4" w14:textId="2623A385" w:rsidR="00C74D95" w:rsidRDefault="008C0CF6">
      <w:pPr>
        <w:spacing w:after="0"/>
        <w:divId w:val="159665213"/>
        <w:rPr>
          <w:rFonts w:ascii="Arial" w:eastAsia="Times New Roman" w:hAnsi="Arial" w:cs="Arial"/>
          <w:sz w:val="20"/>
          <w:szCs w:val="20"/>
          <w:lang w:val="en"/>
        </w:rPr>
      </w:pPr>
      <w:r w:rsidRPr="00275810">
        <w:rPr>
          <w:rFonts w:ascii="Arial" w:eastAsia="Times New Roman" w:hAnsi="Arial" w:cs="Arial"/>
          <w:sz w:val="20"/>
          <w:szCs w:val="20"/>
          <w:lang w:val="en"/>
        </w:rPr>
        <w:t>The use of this protocol is recommended for clinical care purposes but is not required for accreditation purposes.</w:t>
      </w:r>
    </w:p>
    <w:p w14:paraId="4044EB13" w14:textId="77777777" w:rsidR="00275810" w:rsidRPr="00275810" w:rsidRDefault="00275810">
      <w:pPr>
        <w:spacing w:after="0"/>
        <w:divId w:val="159665213"/>
        <w:rPr>
          <w:rFonts w:ascii="Arial" w:eastAsia="Times New Roman" w:hAnsi="Arial" w:cs="Arial"/>
          <w:sz w:val="20"/>
          <w:szCs w:val="20"/>
          <w:lang w:val="en"/>
        </w:rPr>
      </w:pPr>
    </w:p>
    <w:p w14:paraId="5C6126C3" w14:textId="77777777" w:rsidR="00C74D95" w:rsidRPr="00275810" w:rsidRDefault="008C0CF6" w:rsidP="00275810">
      <w:pPr>
        <w:keepNext/>
        <w:tabs>
          <w:tab w:val="left" w:pos="360"/>
        </w:tabs>
        <w:spacing w:after="0"/>
        <w:outlineLvl w:val="1"/>
        <w:divId w:val="1396007690"/>
        <w:rPr>
          <w:rFonts w:ascii="Arial" w:hAnsi="Arial" w:cs="Arial"/>
          <w:sz w:val="20"/>
          <w:szCs w:val="20"/>
          <w:lang w:val="en"/>
        </w:rPr>
      </w:pPr>
      <w:r w:rsidRPr="00275810">
        <w:rPr>
          <w:rStyle w:val="Strong"/>
          <w:rFonts w:ascii="Arial" w:eastAsia="Calibri" w:hAnsi="Arial" w:cs="Arial"/>
          <w:bCs w:val="0"/>
          <w:color w:val="000000"/>
          <w:sz w:val="20"/>
          <w:szCs w:val="20"/>
          <w:lang w:val="en"/>
        </w:rPr>
        <w:t xml:space="preserve">This protocol may be used </w:t>
      </w:r>
      <w:r w:rsidRPr="00275810">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74D95" w:rsidRPr="00275810" w14:paraId="4DEAD8D7" w14:textId="77777777" w:rsidTr="00275810">
        <w:trPr>
          <w:divId w:val="139600769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618EAB9" w14:textId="77777777" w:rsidR="00C74D95" w:rsidRPr="00275810" w:rsidRDefault="008C0CF6" w:rsidP="00275810">
            <w:pPr>
              <w:spacing w:afterLines="60" w:after="144" w:line="240" w:lineRule="auto"/>
              <w:rPr>
                <w:rFonts w:ascii="Arial" w:hAnsi="Arial" w:cs="Arial"/>
                <w:sz w:val="18"/>
                <w:szCs w:val="18"/>
              </w:rPr>
            </w:pPr>
            <w:r w:rsidRPr="0027581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F1738D" w14:textId="77777777" w:rsidR="00C74D95" w:rsidRPr="00275810" w:rsidRDefault="008C0CF6" w:rsidP="00275810">
            <w:pPr>
              <w:spacing w:afterLines="60" w:after="144" w:line="240" w:lineRule="auto"/>
              <w:rPr>
                <w:rFonts w:ascii="Arial" w:hAnsi="Arial" w:cs="Arial"/>
                <w:sz w:val="18"/>
                <w:szCs w:val="18"/>
              </w:rPr>
            </w:pPr>
            <w:r w:rsidRPr="00275810">
              <w:rPr>
                <w:rStyle w:val="Strong"/>
                <w:rFonts w:ascii="Arial" w:eastAsia="SimSun" w:hAnsi="Arial" w:cs="Arial"/>
                <w:bCs w:val="0"/>
                <w:sz w:val="18"/>
                <w:szCs w:val="18"/>
              </w:rPr>
              <w:t>Description</w:t>
            </w:r>
          </w:p>
        </w:tc>
      </w:tr>
      <w:tr w:rsidR="00C74D95" w:rsidRPr="00275810" w14:paraId="612EC38D" w14:textId="77777777" w:rsidTr="00275810">
        <w:trPr>
          <w:divId w:val="1396007690"/>
        </w:trPr>
        <w:tc>
          <w:tcPr>
            <w:tcW w:w="1524" w:type="pct"/>
            <w:tcBorders>
              <w:top w:val="single" w:sz="4" w:space="0" w:color="auto"/>
              <w:left w:val="single" w:sz="4" w:space="0" w:color="auto"/>
              <w:bottom w:val="single" w:sz="4" w:space="0" w:color="auto"/>
              <w:right w:val="single" w:sz="4" w:space="0" w:color="auto"/>
            </w:tcBorders>
            <w:hideMark/>
          </w:tcPr>
          <w:p w14:paraId="458D8A2B" w14:textId="77777777" w:rsidR="00C74D95" w:rsidRPr="00275810" w:rsidRDefault="008C0CF6" w:rsidP="00275810">
            <w:pPr>
              <w:spacing w:afterLines="60" w:after="144" w:line="240" w:lineRule="auto"/>
              <w:rPr>
                <w:rFonts w:ascii="Arial" w:hAnsi="Arial" w:cs="Arial"/>
                <w:sz w:val="18"/>
                <w:szCs w:val="18"/>
              </w:rPr>
            </w:pPr>
            <w:r w:rsidRPr="00275810">
              <w:rPr>
                <w:rFonts w:ascii="Arial" w:hAnsi="Arial" w:cs="Arial"/>
                <w:sz w:val="18"/>
                <w:szCs w:val="18"/>
              </w:rPr>
              <w:t>TURP and enucleation specimens</w:t>
            </w:r>
          </w:p>
        </w:tc>
        <w:tc>
          <w:tcPr>
            <w:tcW w:w="3476" w:type="pct"/>
            <w:tcBorders>
              <w:top w:val="single" w:sz="4" w:space="0" w:color="auto"/>
              <w:left w:val="single" w:sz="4" w:space="0" w:color="auto"/>
              <w:bottom w:val="single" w:sz="4" w:space="0" w:color="auto"/>
              <w:right w:val="single" w:sz="4" w:space="0" w:color="auto"/>
            </w:tcBorders>
            <w:hideMark/>
          </w:tcPr>
          <w:p w14:paraId="61FA7A32" w14:textId="77777777" w:rsidR="00C74D95" w:rsidRPr="00275810" w:rsidRDefault="008C0CF6" w:rsidP="00275810">
            <w:pPr>
              <w:spacing w:afterLines="60" w:after="144" w:line="240" w:lineRule="auto"/>
              <w:rPr>
                <w:rFonts w:ascii="Arial" w:hAnsi="Arial" w:cs="Arial"/>
                <w:sz w:val="18"/>
                <w:szCs w:val="18"/>
              </w:rPr>
            </w:pPr>
            <w:r w:rsidRPr="00275810">
              <w:rPr>
                <w:rFonts w:ascii="Arial" w:hAnsi="Arial" w:cs="Arial"/>
                <w:sz w:val="18"/>
                <w:szCs w:val="18"/>
              </w:rPr>
              <w:t>Includes specimens designated transurethral resection of the prostate (TURP), and enucleation specimens (simple or subtotal prostatectomy)</w:t>
            </w:r>
          </w:p>
        </w:tc>
      </w:tr>
      <w:tr w:rsidR="00C74D95" w:rsidRPr="00275810" w14:paraId="40612AC3" w14:textId="77777777" w:rsidTr="00275810">
        <w:trPr>
          <w:divId w:val="139600769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A10EDEF" w14:textId="77777777" w:rsidR="00C74D95" w:rsidRPr="00275810" w:rsidRDefault="008C0CF6" w:rsidP="00275810">
            <w:pPr>
              <w:spacing w:afterLines="60" w:after="144" w:line="240" w:lineRule="auto"/>
              <w:rPr>
                <w:rFonts w:ascii="Arial" w:hAnsi="Arial" w:cs="Arial"/>
                <w:sz w:val="18"/>
                <w:szCs w:val="18"/>
              </w:rPr>
            </w:pPr>
            <w:r w:rsidRPr="0027581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684D160" w14:textId="77777777" w:rsidR="00C74D95" w:rsidRPr="00275810" w:rsidRDefault="008C0CF6" w:rsidP="00275810">
            <w:pPr>
              <w:spacing w:afterLines="60" w:after="144" w:line="240" w:lineRule="auto"/>
              <w:rPr>
                <w:rFonts w:ascii="Arial" w:hAnsi="Arial" w:cs="Arial"/>
                <w:sz w:val="18"/>
                <w:szCs w:val="18"/>
              </w:rPr>
            </w:pPr>
            <w:r w:rsidRPr="00275810">
              <w:rPr>
                <w:rStyle w:val="Strong"/>
                <w:rFonts w:ascii="Arial" w:eastAsia="SimSun" w:hAnsi="Arial" w:cs="Arial"/>
                <w:bCs w:val="0"/>
                <w:sz w:val="18"/>
                <w:szCs w:val="18"/>
              </w:rPr>
              <w:t>Description</w:t>
            </w:r>
          </w:p>
        </w:tc>
      </w:tr>
      <w:tr w:rsidR="00C74D95" w:rsidRPr="00275810" w14:paraId="24AB6704" w14:textId="77777777" w:rsidTr="00275810">
        <w:trPr>
          <w:divId w:val="1396007690"/>
        </w:trPr>
        <w:tc>
          <w:tcPr>
            <w:tcW w:w="1524" w:type="pct"/>
            <w:tcBorders>
              <w:top w:val="single" w:sz="4" w:space="0" w:color="auto"/>
              <w:left w:val="single" w:sz="4" w:space="0" w:color="auto"/>
              <w:bottom w:val="single" w:sz="4" w:space="0" w:color="auto"/>
              <w:right w:val="single" w:sz="4" w:space="0" w:color="auto"/>
            </w:tcBorders>
            <w:hideMark/>
          </w:tcPr>
          <w:p w14:paraId="6AB26157" w14:textId="77777777" w:rsidR="00C74D95" w:rsidRPr="00275810" w:rsidRDefault="008C0CF6" w:rsidP="00275810">
            <w:pPr>
              <w:spacing w:afterLines="60" w:after="144" w:line="240" w:lineRule="auto"/>
              <w:rPr>
                <w:rFonts w:ascii="Arial" w:hAnsi="Arial" w:cs="Arial"/>
                <w:sz w:val="18"/>
                <w:szCs w:val="18"/>
              </w:rPr>
            </w:pPr>
            <w:r w:rsidRPr="00275810">
              <w:rPr>
                <w:rFonts w:ascii="Arial" w:hAnsi="Arial" w:cs="Arial"/>
                <w:sz w:val="18"/>
                <w:szCs w:val="18"/>
              </w:rPr>
              <w:t xml:space="preserve">Carcinoma </w:t>
            </w:r>
          </w:p>
        </w:tc>
        <w:tc>
          <w:tcPr>
            <w:tcW w:w="3476" w:type="pct"/>
            <w:tcBorders>
              <w:top w:val="single" w:sz="4" w:space="0" w:color="auto"/>
              <w:left w:val="single" w:sz="4" w:space="0" w:color="auto"/>
              <w:bottom w:val="single" w:sz="4" w:space="0" w:color="auto"/>
              <w:right w:val="single" w:sz="4" w:space="0" w:color="auto"/>
            </w:tcBorders>
            <w:hideMark/>
          </w:tcPr>
          <w:p w14:paraId="584D3307" w14:textId="77777777" w:rsidR="00C74D95" w:rsidRPr="00275810" w:rsidRDefault="008C0CF6" w:rsidP="00275810">
            <w:pPr>
              <w:spacing w:afterLines="60" w:after="144" w:line="240" w:lineRule="auto"/>
              <w:rPr>
                <w:rFonts w:ascii="Arial" w:hAnsi="Arial" w:cs="Arial"/>
                <w:sz w:val="18"/>
                <w:szCs w:val="18"/>
              </w:rPr>
            </w:pPr>
            <w:r w:rsidRPr="00275810">
              <w:rPr>
                <w:rFonts w:ascii="Arial" w:eastAsia="SimSun" w:hAnsi="Arial" w:cs="Arial"/>
                <w:sz w:val="18"/>
                <w:szCs w:val="18"/>
              </w:rPr>
              <w:t xml:space="preserve">Includes all adenocarcinomas and histologic variants, neuroendocrine carcinomas, and others  </w:t>
            </w:r>
          </w:p>
        </w:tc>
      </w:tr>
    </w:tbl>
    <w:p w14:paraId="5E9BC544" w14:textId="77777777" w:rsidR="00C74D95" w:rsidRPr="00275810" w:rsidRDefault="008C0CF6">
      <w:pPr>
        <w:divId w:val="1396007690"/>
        <w:rPr>
          <w:rFonts w:ascii="Arial" w:hAnsi="Arial" w:cs="Arial"/>
          <w:sz w:val="20"/>
          <w:szCs w:val="20"/>
          <w:lang w:val="en"/>
        </w:rPr>
      </w:pPr>
      <w:r w:rsidRPr="00275810">
        <w:rPr>
          <w:rFonts w:ascii="Arial" w:eastAsia="Calibri" w:hAnsi="Arial" w:cs="Arial"/>
          <w:sz w:val="20"/>
          <w:szCs w:val="20"/>
          <w:lang w:val="en"/>
        </w:rPr>
        <w:t> </w:t>
      </w:r>
    </w:p>
    <w:p w14:paraId="18EBA01E" w14:textId="77777777" w:rsidR="00C74D95" w:rsidRPr="00275810" w:rsidRDefault="008C0CF6" w:rsidP="00275810">
      <w:pPr>
        <w:spacing w:after="0"/>
        <w:divId w:val="1396007690"/>
        <w:rPr>
          <w:rFonts w:ascii="Arial" w:hAnsi="Arial" w:cs="Arial"/>
          <w:sz w:val="20"/>
          <w:szCs w:val="20"/>
          <w:lang w:val="en"/>
        </w:rPr>
      </w:pPr>
      <w:r w:rsidRPr="00275810">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74D95" w:rsidRPr="00275810" w14:paraId="63238757" w14:textId="77777777" w:rsidTr="00275810">
        <w:trPr>
          <w:divId w:val="139600769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26A4D48" w14:textId="77777777" w:rsidR="00C74D95" w:rsidRPr="00275810" w:rsidRDefault="008C0CF6" w:rsidP="00275810">
            <w:pPr>
              <w:tabs>
                <w:tab w:val="left" w:pos="1800"/>
              </w:tabs>
              <w:spacing w:after="0"/>
              <w:rPr>
                <w:rFonts w:ascii="Arial" w:hAnsi="Arial" w:cs="Arial"/>
                <w:sz w:val="18"/>
                <w:szCs w:val="18"/>
              </w:rPr>
            </w:pPr>
            <w:r w:rsidRPr="00275810">
              <w:rPr>
                <w:rStyle w:val="Strong"/>
                <w:rFonts w:ascii="Arial" w:eastAsia="SimSun" w:hAnsi="Arial" w:cs="Arial"/>
                <w:bCs w:val="0"/>
                <w:sz w:val="18"/>
                <w:szCs w:val="18"/>
              </w:rPr>
              <w:t>Procedure</w:t>
            </w:r>
            <w:r w:rsidRPr="00275810">
              <w:rPr>
                <w:rStyle w:val="Strong"/>
                <w:rFonts w:ascii="Arial" w:eastAsia="SimSun" w:hAnsi="Arial" w:cs="Arial"/>
                <w:bCs w:val="0"/>
                <w:sz w:val="18"/>
                <w:szCs w:val="18"/>
              </w:rPr>
              <w:tab/>
            </w:r>
          </w:p>
        </w:tc>
      </w:tr>
      <w:tr w:rsidR="00C74D95" w:rsidRPr="00275810" w14:paraId="177689B1" w14:textId="77777777" w:rsidTr="00275810">
        <w:trPr>
          <w:divId w:val="1396007690"/>
          <w:trHeight w:val="152"/>
        </w:trPr>
        <w:tc>
          <w:tcPr>
            <w:tcW w:w="5000" w:type="pct"/>
            <w:tcBorders>
              <w:top w:val="single" w:sz="4" w:space="0" w:color="auto"/>
              <w:left w:val="single" w:sz="4" w:space="0" w:color="auto"/>
              <w:bottom w:val="single" w:sz="4" w:space="0" w:color="auto"/>
              <w:right w:val="single" w:sz="4" w:space="0" w:color="auto"/>
            </w:tcBorders>
            <w:hideMark/>
          </w:tcPr>
          <w:p w14:paraId="650BF9AF"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Biopsy (consider Prostate Biopsy protocol)</w:t>
            </w:r>
          </w:p>
        </w:tc>
      </w:tr>
      <w:tr w:rsidR="00C74D95" w:rsidRPr="00275810" w14:paraId="705EF23D" w14:textId="77777777" w:rsidTr="00275810">
        <w:trPr>
          <w:divId w:val="1396007690"/>
          <w:trHeight w:val="152"/>
        </w:trPr>
        <w:tc>
          <w:tcPr>
            <w:tcW w:w="5000" w:type="pct"/>
            <w:tcBorders>
              <w:top w:val="single" w:sz="4" w:space="0" w:color="auto"/>
              <w:left w:val="single" w:sz="4" w:space="0" w:color="auto"/>
              <w:bottom w:val="single" w:sz="4" w:space="0" w:color="auto"/>
              <w:right w:val="single" w:sz="4" w:space="0" w:color="auto"/>
            </w:tcBorders>
            <w:hideMark/>
          </w:tcPr>
          <w:p w14:paraId="398CF9FB"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Radical Prostatectomy (consider Prostate Radical Prostatectomy protocol)</w:t>
            </w:r>
          </w:p>
        </w:tc>
      </w:tr>
      <w:tr w:rsidR="00C74D95" w:rsidRPr="00275810" w14:paraId="1BEAA096" w14:textId="77777777" w:rsidTr="00275810">
        <w:trPr>
          <w:divId w:val="139600769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80091F" w14:textId="77777777" w:rsidR="00C74D95" w:rsidRPr="00275810" w:rsidRDefault="008C0CF6" w:rsidP="00275810">
            <w:pPr>
              <w:spacing w:after="60" w:line="240" w:lineRule="auto"/>
              <w:rPr>
                <w:rFonts w:ascii="Arial" w:hAnsi="Arial" w:cs="Arial"/>
                <w:sz w:val="18"/>
                <w:szCs w:val="18"/>
              </w:rPr>
            </w:pPr>
            <w:r w:rsidRPr="00275810">
              <w:rPr>
                <w:rStyle w:val="Strong"/>
                <w:rFonts w:ascii="Arial" w:eastAsia="SimSun" w:hAnsi="Arial" w:cs="Arial"/>
                <w:bCs w:val="0"/>
                <w:sz w:val="18"/>
                <w:szCs w:val="18"/>
              </w:rPr>
              <w:t>Tumor Type</w:t>
            </w:r>
          </w:p>
        </w:tc>
      </w:tr>
      <w:tr w:rsidR="00C74D95" w:rsidRPr="00275810" w14:paraId="36F5A71D" w14:textId="77777777" w:rsidTr="00275810">
        <w:trPr>
          <w:divId w:val="1396007690"/>
        </w:trPr>
        <w:tc>
          <w:tcPr>
            <w:tcW w:w="5000" w:type="pct"/>
            <w:tcBorders>
              <w:top w:val="single" w:sz="4" w:space="0" w:color="auto"/>
              <w:left w:val="single" w:sz="4" w:space="0" w:color="auto"/>
              <w:bottom w:val="single" w:sz="4" w:space="0" w:color="auto"/>
              <w:right w:val="single" w:sz="4" w:space="0" w:color="auto"/>
            </w:tcBorders>
            <w:hideMark/>
          </w:tcPr>
          <w:p w14:paraId="131F686C"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Lymphoma (consider the Hodgkin or non-Hodgkin Lymphoma protocols)</w:t>
            </w:r>
          </w:p>
        </w:tc>
      </w:tr>
      <w:tr w:rsidR="00C74D95" w:rsidRPr="00275810" w14:paraId="1A561906" w14:textId="77777777" w:rsidTr="00275810">
        <w:trPr>
          <w:divId w:val="1396007690"/>
        </w:trPr>
        <w:tc>
          <w:tcPr>
            <w:tcW w:w="5000" w:type="pct"/>
            <w:tcBorders>
              <w:top w:val="single" w:sz="4" w:space="0" w:color="auto"/>
              <w:left w:val="single" w:sz="4" w:space="0" w:color="auto"/>
              <w:bottom w:val="single" w:sz="4" w:space="0" w:color="auto"/>
              <w:right w:val="single" w:sz="4" w:space="0" w:color="auto"/>
            </w:tcBorders>
            <w:hideMark/>
          </w:tcPr>
          <w:p w14:paraId="0918E000"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Sarcoma (consider the Soft Tissue protocol)</w:t>
            </w:r>
          </w:p>
        </w:tc>
      </w:tr>
    </w:tbl>
    <w:p w14:paraId="740AB76B" w14:textId="77777777" w:rsidR="00C74D95" w:rsidRPr="00275810" w:rsidRDefault="00C74D95">
      <w:pPr>
        <w:spacing w:after="0"/>
        <w:divId w:val="795563961"/>
        <w:rPr>
          <w:rFonts w:ascii="Arial" w:eastAsia="Times New Roman" w:hAnsi="Arial" w:cs="Arial"/>
          <w:sz w:val="20"/>
          <w:szCs w:val="20"/>
          <w:lang w:val="en"/>
        </w:rPr>
      </w:pPr>
    </w:p>
    <w:p w14:paraId="52E5BDA1" w14:textId="5276AB39" w:rsidR="003F0F97" w:rsidRPr="00275810" w:rsidRDefault="008C0CF6" w:rsidP="00275810">
      <w:pPr>
        <w:spacing w:after="0"/>
        <w:divId w:val="442313286"/>
        <w:rPr>
          <w:rFonts w:ascii="Arial" w:eastAsia="Times New Roman" w:hAnsi="Arial" w:cs="Arial"/>
          <w:b/>
          <w:bCs/>
          <w:sz w:val="20"/>
          <w:szCs w:val="20"/>
          <w:lang w:val="en"/>
        </w:rPr>
      </w:pPr>
      <w:r w:rsidRPr="00275810">
        <w:rPr>
          <w:rFonts w:ascii="Arial" w:eastAsia="Times New Roman" w:hAnsi="Arial" w:cs="Arial"/>
          <w:b/>
          <w:bCs/>
          <w:sz w:val="20"/>
          <w:szCs w:val="20"/>
          <w:lang w:val="en"/>
        </w:rPr>
        <w:t>Authors</w:t>
      </w:r>
    </w:p>
    <w:p w14:paraId="0DAC14BC" w14:textId="77777777" w:rsidR="00343F45" w:rsidRDefault="008C0CF6">
      <w:pPr>
        <w:spacing w:after="0"/>
        <w:divId w:val="1619021207"/>
        <w:rPr>
          <w:rFonts w:ascii="Arial" w:eastAsia="Times New Roman" w:hAnsi="Arial" w:cs="Arial"/>
          <w:sz w:val="20"/>
          <w:szCs w:val="20"/>
          <w:lang w:val="en"/>
        </w:rPr>
      </w:pPr>
      <w:r w:rsidRPr="00275810">
        <w:rPr>
          <w:rFonts w:ascii="Arial" w:eastAsia="Times New Roman" w:hAnsi="Arial" w:cs="Arial"/>
          <w:sz w:val="20"/>
          <w:szCs w:val="20"/>
          <w:lang w:val="en"/>
        </w:rPr>
        <w:t>Gladell P. Paner, MD*; John R. Srigley, MD*; Jason Pettus, MD; Giovanna Angela Giannico, MD; Joseph Sirintrapun, MD; Lara R. Harik, MD.</w:t>
      </w:r>
    </w:p>
    <w:p w14:paraId="49316C7A" w14:textId="2D937995" w:rsidR="00C74D95" w:rsidRPr="00275810" w:rsidRDefault="008C0CF6">
      <w:pPr>
        <w:spacing w:after="0"/>
        <w:divId w:val="1619021207"/>
        <w:rPr>
          <w:rFonts w:ascii="Arial" w:eastAsia="Times New Roman" w:hAnsi="Arial" w:cs="Arial"/>
          <w:sz w:val="20"/>
          <w:szCs w:val="20"/>
          <w:lang w:val="en"/>
        </w:rPr>
      </w:pPr>
      <w:r w:rsidRPr="00275810">
        <w:rPr>
          <w:rFonts w:ascii="Arial" w:eastAsia="Times New Roman" w:hAnsi="Arial" w:cs="Arial"/>
          <w:sz w:val="20"/>
          <w:szCs w:val="20"/>
          <w:lang w:val="en"/>
        </w:rPr>
        <w:br/>
        <w:t>With guidance from the CAP Cancer and CAP Pathology Electronic Reporting Committees.</w:t>
      </w:r>
      <w:r w:rsidRPr="00275810">
        <w:rPr>
          <w:rFonts w:ascii="Arial" w:eastAsia="Times New Roman" w:hAnsi="Arial" w:cs="Arial"/>
          <w:sz w:val="20"/>
          <w:szCs w:val="20"/>
          <w:lang w:val="en"/>
        </w:rPr>
        <w:br/>
      </w:r>
      <w:r w:rsidRPr="00275810">
        <w:rPr>
          <w:rFonts w:ascii="Arial" w:eastAsia="Times New Roman" w:hAnsi="Arial" w:cs="Arial"/>
          <w:sz w:val="16"/>
          <w:szCs w:val="16"/>
          <w:lang w:val="en"/>
        </w:rPr>
        <w:t>* Denotes primary author.</w:t>
      </w:r>
    </w:p>
    <w:p w14:paraId="081B55EC" w14:textId="31B1BC9F" w:rsidR="00275810" w:rsidRDefault="00275810">
      <w:pPr>
        <w:rPr>
          <w:rFonts w:ascii="Arial" w:eastAsia="Times New Roman" w:hAnsi="Arial" w:cs="Arial"/>
          <w:sz w:val="20"/>
          <w:szCs w:val="20"/>
          <w:lang w:val="en"/>
        </w:rPr>
      </w:pPr>
      <w:r>
        <w:rPr>
          <w:rFonts w:ascii="Arial" w:eastAsia="Times New Roman" w:hAnsi="Arial" w:cs="Arial"/>
          <w:sz w:val="20"/>
          <w:szCs w:val="20"/>
          <w:lang w:val="en"/>
        </w:rPr>
        <w:br w:type="page"/>
      </w:r>
    </w:p>
    <w:p w14:paraId="1BBBEACB" w14:textId="77777777" w:rsidR="00C74D95" w:rsidRPr="00275810" w:rsidRDefault="008C0CF6" w:rsidP="00275810">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lastRenderedPageBreak/>
        <w:t>Accreditation Requirements</w:t>
      </w:r>
    </w:p>
    <w:p w14:paraId="132B4018" w14:textId="77777777" w:rsidR="00C74D95" w:rsidRPr="00275810" w:rsidRDefault="008C0CF6" w:rsidP="00275810">
      <w:pPr>
        <w:pStyle w:val="NormalWeb"/>
        <w:spacing w:before="0" w:beforeAutospacing="0" w:after="0" w:afterAutospacing="0" w:line="259" w:lineRule="auto"/>
        <w:rPr>
          <w:rFonts w:ascii="Arial" w:hAnsi="Arial" w:cs="Arial"/>
          <w:sz w:val="20"/>
          <w:szCs w:val="20"/>
          <w:lang w:val="en"/>
        </w:rPr>
      </w:pPr>
      <w:r w:rsidRPr="00275810">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D46A418" w14:textId="77777777" w:rsidR="00C74D95" w:rsidRPr="00275810" w:rsidRDefault="00C74D95">
      <w:pPr>
        <w:spacing w:after="0"/>
        <w:divId w:val="795563961"/>
        <w:rPr>
          <w:rFonts w:ascii="Arial" w:eastAsia="Times New Roman" w:hAnsi="Arial" w:cs="Arial"/>
          <w:sz w:val="20"/>
          <w:szCs w:val="20"/>
          <w:lang w:val="en"/>
        </w:rPr>
      </w:pPr>
    </w:p>
    <w:p w14:paraId="1A122295" w14:textId="77777777" w:rsidR="00C74D95" w:rsidRPr="00275810" w:rsidRDefault="008C0CF6">
      <w:pPr>
        <w:spacing w:after="0"/>
        <w:rPr>
          <w:rFonts w:ascii="Arial" w:eastAsia="Times New Roman" w:hAnsi="Arial" w:cs="Arial"/>
          <w:b/>
          <w:bCs/>
          <w:sz w:val="20"/>
          <w:szCs w:val="20"/>
          <w:u w:val="single"/>
          <w:lang w:val="en"/>
        </w:rPr>
      </w:pPr>
      <w:r w:rsidRPr="00275810">
        <w:rPr>
          <w:rFonts w:ascii="Arial" w:eastAsia="Times New Roman" w:hAnsi="Arial" w:cs="Arial"/>
          <w:b/>
          <w:bCs/>
          <w:sz w:val="20"/>
          <w:szCs w:val="20"/>
          <w:u w:val="single"/>
          <w:lang w:val="en"/>
        </w:rPr>
        <w:t>Summary of Changes</w:t>
      </w:r>
    </w:p>
    <w:p w14:paraId="44C57D54" w14:textId="77777777" w:rsidR="00C74D95" w:rsidRPr="00275810" w:rsidRDefault="008C0CF6">
      <w:pPr>
        <w:pStyle w:val="NormalWeb"/>
        <w:rPr>
          <w:rFonts w:ascii="Arial" w:hAnsi="Arial" w:cs="Arial"/>
          <w:sz w:val="20"/>
          <w:szCs w:val="20"/>
          <w:lang w:val="en"/>
        </w:rPr>
      </w:pPr>
      <w:r w:rsidRPr="00275810">
        <w:rPr>
          <w:rStyle w:val="Strong"/>
          <w:rFonts w:ascii="Arial" w:hAnsi="Arial" w:cs="Arial"/>
          <w:sz w:val="20"/>
          <w:szCs w:val="20"/>
          <w:lang w:val="en"/>
        </w:rPr>
        <w:t>v 4.1.0.0</w:t>
      </w:r>
    </w:p>
    <w:p w14:paraId="6765D921"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General Reformatting</w:t>
      </w:r>
    </w:p>
    <w:p w14:paraId="4947AA1E"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Histologic Grade Updated</w:t>
      </w:r>
    </w:p>
    <w:p w14:paraId="5D5626A6"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New Section - IDC Incorporated into Grade</w:t>
      </w:r>
    </w:p>
    <w:p w14:paraId="4D15A1C5"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Cribriform Glands Question Updated</w:t>
      </w:r>
    </w:p>
    <w:p w14:paraId="51EBD8E2"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Tumor Quantitation Added</w:t>
      </w:r>
    </w:p>
    <w:p w14:paraId="5FEC3988"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Revised Margins Section</w:t>
      </w:r>
    </w:p>
    <w:p w14:paraId="0467F1AC"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Atypical Intraductal Proliferation (AIP) to added Additional Findings</w:t>
      </w:r>
    </w:p>
    <w:p w14:paraId="22AF101A" w14:textId="77777777" w:rsidR="00C74D95" w:rsidRPr="00275810" w:rsidRDefault="008C0CF6">
      <w:pPr>
        <w:numPr>
          <w:ilvl w:val="0"/>
          <w:numId w:val="1"/>
        </w:numPr>
        <w:spacing w:before="100" w:beforeAutospacing="1" w:after="100" w:afterAutospacing="1" w:line="240" w:lineRule="auto"/>
        <w:rPr>
          <w:rFonts w:ascii="Arial" w:eastAsia="Times New Roman" w:hAnsi="Arial" w:cs="Arial"/>
          <w:sz w:val="20"/>
          <w:szCs w:val="20"/>
          <w:lang w:val="en"/>
        </w:rPr>
      </w:pPr>
      <w:r w:rsidRPr="00275810">
        <w:rPr>
          <w:rFonts w:ascii="Arial" w:eastAsia="Times New Roman" w:hAnsi="Arial" w:cs="Arial"/>
          <w:sz w:val="20"/>
          <w:szCs w:val="20"/>
          <w:lang w:val="en"/>
        </w:rPr>
        <w:t>Equivocal response added to Periprostatic Fat Invasion and Seminal Vesicle Invasion </w:t>
      </w:r>
    </w:p>
    <w:p w14:paraId="31098D43" w14:textId="77777777" w:rsidR="00C74D95" w:rsidRPr="00275810" w:rsidRDefault="008C0CF6" w:rsidP="000B3016">
      <w:pPr>
        <w:pageBreakBefore/>
        <w:pBdr>
          <w:bottom w:val="single" w:sz="4" w:space="1" w:color="auto"/>
        </w:pBdr>
        <w:spacing w:after="0"/>
        <w:rPr>
          <w:rFonts w:ascii="Arial" w:eastAsia="Times New Roman" w:hAnsi="Arial" w:cs="Arial"/>
          <w:b/>
          <w:bCs/>
          <w:sz w:val="24"/>
          <w:szCs w:val="24"/>
          <w:lang w:val="en"/>
        </w:rPr>
      </w:pPr>
      <w:r w:rsidRPr="00275810">
        <w:rPr>
          <w:rFonts w:ascii="Arial" w:eastAsia="Times New Roman" w:hAnsi="Arial" w:cs="Arial"/>
          <w:b/>
          <w:bCs/>
          <w:sz w:val="24"/>
          <w:szCs w:val="24"/>
          <w:lang w:val="en"/>
        </w:rPr>
        <w:lastRenderedPageBreak/>
        <w:t>Reporting Template</w:t>
      </w:r>
    </w:p>
    <w:p w14:paraId="29FC9A6A" w14:textId="77777777" w:rsidR="00275810" w:rsidRDefault="00275810">
      <w:pPr>
        <w:spacing w:after="0"/>
        <w:rPr>
          <w:rFonts w:ascii="Arial" w:eastAsia="Times New Roman" w:hAnsi="Arial" w:cs="Arial"/>
          <w:b/>
          <w:bCs/>
          <w:sz w:val="20"/>
          <w:szCs w:val="20"/>
          <w:lang w:val="en"/>
        </w:rPr>
      </w:pPr>
    </w:p>
    <w:p w14:paraId="567D18AF" w14:textId="76F1815C"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Protocol Posting Date: June 2021 </w:t>
      </w:r>
    </w:p>
    <w:p w14:paraId="1828C72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Select a single response unless otherwise indicated.</w:t>
      </w:r>
    </w:p>
    <w:p w14:paraId="6F6C9A8C" w14:textId="77777777" w:rsidR="00C74D95" w:rsidRPr="00275810" w:rsidRDefault="00C74D95">
      <w:pPr>
        <w:spacing w:after="0"/>
        <w:divId w:val="795563961"/>
        <w:rPr>
          <w:rFonts w:ascii="Arial" w:eastAsia="Times New Roman" w:hAnsi="Arial" w:cs="Arial"/>
          <w:sz w:val="20"/>
          <w:szCs w:val="20"/>
          <w:lang w:val="en"/>
        </w:rPr>
      </w:pPr>
    </w:p>
    <w:p w14:paraId="3471F15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CASE SUMMARY: (PROSTATE GLAND: Transurethral Prostatic Resection (TURP), Enucleation Specimen (Simple or Subtotal Prostatectomy)) </w:t>
      </w:r>
    </w:p>
    <w:p w14:paraId="1244291E"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b/>
          <w:bCs/>
          <w:sz w:val="20"/>
          <w:szCs w:val="20"/>
          <w:lang w:val="en"/>
        </w:rPr>
        <w:t>Standard(s)</w:t>
      </w:r>
      <w:r w:rsidRPr="00275810">
        <w:rPr>
          <w:rFonts w:ascii="Arial" w:eastAsia="Times New Roman" w:hAnsi="Arial" w:cs="Arial"/>
          <w:sz w:val="20"/>
          <w:szCs w:val="20"/>
          <w:lang w:val="en"/>
        </w:rPr>
        <w:t xml:space="preserve">: AJCC-UICC 8 </w:t>
      </w:r>
    </w:p>
    <w:p w14:paraId="5BEA1234" w14:textId="77777777" w:rsidR="00C74D95" w:rsidRPr="00275810" w:rsidRDefault="008C0CF6">
      <w:pPr>
        <w:spacing w:after="0"/>
        <w:rPr>
          <w:rFonts w:ascii="Arial" w:eastAsia="Times New Roman" w:hAnsi="Arial" w:cs="Arial"/>
          <w:i/>
          <w:iCs/>
          <w:sz w:val="16"/>
          <w:szCs w:val="16"/>
          <w:lang w:val="en"/>
        </w:rPr>
      </w:pPr>
      <w:r w:rsidRPr="00275810">
        <w:rPr>
          <w:rFonts w:ascii="Arial" w:eastAsia="Times New Roman" w:hAnsi="Arial" w:cs="Arial"/>
          <w:i/>
          <w:iCs/>
          <w:sz w:val="16"/>
          <w:szCs w:val="16"/>
          <w:lang w:val="en"/>
        </w:rPr>
        <w:t xml:space="preserve">This template is recommended for reporting TURP </w:t>
      </w:r>
      <w:proofErr w:type="gramStart"/>
      <w:r w:rsidRPr="00275810">
        <w:rPr>
          <w:rFonts w:ascii="Arial" w:eastAsia="Times New Roman" w:hAnsi="Arial" w:cs="Arial"/>
          <w:i/>
          <w:iCs/>
          <w:sz w:val="16"/>
          <w:szCs w:val="16"/>
          <w:lang w:val="en"/>
        </w:rPr>
        <w:t>specimens, but</w:t>
      </w:r>
      <w:proofErr w:type="gramEnd"/>
      <w:r w:rsidRPr="00275810">
        <w:rPr>
          <w:rFonts w:ascii="Arial" w:eastAsia="Times New Roman" w:hAnsi="Arial" w:cs="Arial"/>
          <w:i/>
          <w:iCs/>
          <w:sz w:val="16"/>
          <w:szCs w:val="16"/>
          <w:lang w:val="en"/>
        </w:rPr>
        <w:t xml:space="preserve"> is not required for accreditation purposes. </w:t>
      </w:r>
    </w:p>
    <w:p w14:paraId="3DC93879" w14:textId="77777777" w:rsidR="00C74D95" w:rsidRPr="00275810" w:rsidRDefault="00C74D95">
      <w:pPr>
        <w:spacing w:after="0"/>
        <w:divId w:val="795563961"/>
        <w:rPr>
          <w:rFonts w:ascii="Arial" w:eastAsia="Times New Roman" w:hAnsi="Arial" w:cs="Arial"/>
          <w:sz w:val="20"/>
          <w:szCs w:val="20"/>
          <w:lang w:val="en"/>
        </w:rPr>
      </w:pPr>
    </w:p>
    <w:p w14:paraId="6B883CCA"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SPECIMEN </w:t>
      </w:r>
    </w:p>
    <w:p w14:paraId="6491127B" w14:textId="77777777" w:rsidR="00C74D95" w:rsidRPr="00275810" w:rsidRDefault="00C74D95">
      <w:pPr>
        <w:spacing w:after="0"/>
        <w:divId w:val="795563961"/>
        <w:rPr>
          <w:rFonts w:ascii="Arial" w:eastAsia="Times New Roman" w:hAnsi="Arial" w:cs="Arial"/>
          <w:sz w:val="20"/>
          <w:szCs w:val="20"/>
          <w:lang w:val="en"/>
        </w:rPr>
      </w:pPr>
    </w:p>
    <w:p w14:paraId="2C7EF7B0"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Procedure (Note </w:t>
      </w:r>
      <w:hyperlink w:anchor="2167" w:history="1">
        <w:r w:rsidRPr="00275810">
          <w:rPr>
            <w:rStyle w:val="Hyperlink"/>
            <w:rFonts w:ascii="Arial" w:eastAsia="Times New Roman" w:hAnsi="Arial" w:cs="Arial"/>
            <w:b/>
            <w:bCs/>
            <w:sz w:val="20"/>
            <w:szCs w:val="20"/>
            <w:lang w:val="en"/>
          </w:rPr>
          <w:t>A</w:t>
        </w:r>
      </w:hyperlink>
      <w:r w:rsidRPr="00275810">
        <w:rPr>
          <w:rFonts w:ascii="Arial" w:eastAsia="Times New Roman" w:hAnsi="Arial" w:cs="Arial"/>
          <w:b/>
          <w:bCs/>
          <w:sz w:val="20"/>
          <w:szCs w:val="20"/>
          <w:lang w:val="en"/>
        </w:rPr>
        <w:t xml:space="preserve">) </w:t>
      </w:r>
    </w:p>
    <w:p w14:paraId="1DF0F03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Transurethral resection of the prostate (TURP) </w:t>
      </w:r>
    </w:p>
    <w:p w14:paraId="3F3BEFDB"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Enucleation (simple or subtotal prostatectomy) </w:t>
      </w:r>
    </w:p>
    <w:p w14:paraId="796D6CC9"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Other (specify): _________________ </w:t>
      </w:r>
    </w:p>
    <w:p w14:paraId="75F35F1D"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specified </w:t>
      </w:r>
    </w:p>
    <w:p w14:paraId="1494E4BB" w14:textId="77777777" w:rsidR="00C74D95" w:rsidRPr="00275810" w:rsidRDefault="00C74D95">
      <w:pPr>
        <w:spacing w:after="0"/>
        <w:divId w:val="795563961"/>
        <w:rPr>
          <w:rFonts w:ascii="Arial" w:eastAsia="Times New Roman" w:hAnsi="Arial" w:cs="Arial"/>
          <w:sz w:val="20"/>
          <w:szCs w:val="20"/>
          <w:lang w:val="en"/>
        </w:rPr>
      </w:pPr>
    </w:p>
    <w:p w14:paraId="2F17A3E4"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TUMOR </w:t>
      </w:r>
    </w:p>
    <w:p w14:paraId="38F72005" w14:textId="77777777" w:rsidR="00C74D95" w:rsidRPr="00275810" w:rsidRDefault="00C74D95">
      <w:pPr>
        <w:spacing w:after="0"/>
        <w:divId w:val="795563961"/>
        <w:rPr>
          <w:rFonts w:ascii="Arial" w:eastAsia="Times New Roman" w:hAnsi="Arial" w:cs="Arial"/>
          <w:sz w:val="20"/>
          <w:szCs w:val="20"/>
          <w:lang w:val="en"/>
        </w:rPr>
      </w:pPr>
    </w:p>
    <w:p w14:paraId="7B943083"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Histologic Type (Note </w:t>
      </w:r>
      <w:hyperlink w:anchor="2168" w:history="1">
        <w:r w:rsidRPr="00275810">
          <w:rPr>
            <w:rStyle w:val="Hyperlink"/>
            <w:rFonts w:ascii="Arial" w:eastAsia="Times New Roman" w:hAnsi="Arial" w:cs="Arial"/>
            <w:b/>
            <w:bCs/>
            <w:sz w:val="20"/>
            <w:szCs w:val="20"/>
            <w:lang w:val="en"/>
          </w:rPr>
          <w:t>B</w:t>
        </w:r>
      </w:hyperlink>
      <w:r w:rsidRPr="00275810">
        <w:rPr>
          <w:rFonts w:ascii="Arial" w:eastAsia="Times New Roman" w:hAnsi="Arial" w:cs="Arial"/>
          <w:b/>
          <w:bCs/>
          <w:sz w:val="20"/>
          <w:szCs w:val="20"/>
          <w:lang w:val="en"/>
        </w:rPr>
        <w:t xml:space="preserve">) (select all that apply) </w:t>
      </w:r>
    </w:p>
    <w:p w14:paraId="7F16037A"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Acinar adenocarcinoma </w:t>
      </w:r>
    </w:p>
    <w:p w14:paraId="0A90631F"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Ductal adenocarcinoma </w:t>
      </w:r>
    </w:p>
    <w:p w14:paraId="60376338"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Small-cell neuroendocrine carcinoma </w:t>
      </w:r>
    </w:p>
    <w:p w14:paraId="47E635B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Isolated intraductal carcinoma </w:t>
      </w:r>
    </w:p>
    <w:p w14:paraId="65A73CD7"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Other histologic type not listed (specify): _________________ </w:t>
      </w:r>
    </w:p>
    <w:p w14:paraId="5BD5E702"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380C2EF0" w14:textId="77777777" w:rsidR="00C74D95" w:rsidRPr="00275810" w:rsidRDefault="008C0CF6">
      <w:pPr>
        <w:spacing w:after="0"/>
        <w:ind w:firstLine="24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+Histologic Type Comment: _________________ </w:t>
      </w:r>
    </w:p>
    <w:p w14:paraId="2D857D0C" w14:textId="77777777" w:rsidR="003F0F97" w:rsidRDefault="003F0F97">
      <w:pPr>
        <w:spacing w:after="0"/>
        <w:rPr>
          <w:rFonts w:ascii="Arial" w:eastAsia="Times New Roman" w:hAnsi="Arial" w:cs="Arial"/>
          <w:b/>
          <w:bCs/>
          <w:sz w:val="20"/>
          <w:szCs w:val="20"/>
          <w:lang w:val="en"/>
        </w:rPr>
      </w:pPr>
    </w:p>
    <w:p w14:paraId="467186A7" w14:textId="52A8B71C"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Histologic Grade (Note </w:t>
      </w:r>
      <w:hyperlink w:anchor="2169" w:history="1">
        <w:r w:rsidRPr="00275810">
          <w:rPr>
            <w:rStyle w:val="Hyperlink"/>
            <w:rFonts w:ascii="Arial" w:eastAsia="Times New Roman" w:hAnsi="Arial" w:cs="Arial"/>
            <w:b/>
            <w:bCs/>
            <w:sz w:val="20"/>
            <w:szCs w:val="20"/>
            <w:lang w:val="en"/>
          </w:rPr>
          <w:t>C</w:t>
        </w:r>
      </w:hyperlink>
      <w:r w:rsidRPr="00275810">
        <w:rPr>
          <w:rFonts w:ascii="Arial" w:eastAsia="Times New Roman" w:hAnsi="Arial" w:cs="Arial"/>
          <w:b/>
          <w:bCs/>
          <w:sz w:val="20"/>
          <w:szCs w:val="20"/>
          <w:lang w:val="en"/>
        </w:rPr>
        <w:t xml:space="preserve">) </w:t>
      </w:r>
    </w:p>
    <w:p w14:paraId="0C4789DD" w14:textId="77777777" w:rsidR="00C74D95" w:rsidRPr="00275810" w:rsidRDefault="008C0CF6">
      <w:pPr>
        <w:spacing w:after="0"/>
        <w:ind w:firstLine="24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Grade </w:t>
      </w:r>
    </w:p>
    <w:p w14:paraId="2F80AAEB"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applicable: _________________ </w:t>
      </w:r>
    </w:p>
    <w:p w14:paraId="7629C5B8"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assessed: _________________ </w:t>
      </w:r>
    </w:p>
    <w:p w14:paraId="3B932791"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1 (Gleason Score 3 + 3 = 6) </w:t>
      </w:r>
    </w:p>
    <w:p w14:paraId="1761CC1B"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2 (Gleason Score 3 + 4 = 7) </w:t>
      </w:r>
    </w:p>
    <w:p w14:paraId="1DDFE6E7" w14:textId="77777777"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Percentage of Pattern 4 </w:t>
      </w:r>
    </w:p>
    <w:p w14:paraId="31A9DD26"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Less than or equal to 5% </w:t>
      </w:r>
    </w:p>
    <w:p w14:paraId="5C95BB3E"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6 - 10% </w:t>
      </w:r>
    </w:p>
    <w:p w14:paraId="773D1B74"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11 - 20% </w:t>
      </w:r>
    </w:p>
    <w:p w14:paraId="7E531A7D"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21 - 30% </w:t>
      </w:r>
    </w:p>
    <w:p w14:paraId="552C163C"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31 - 40% </w:t>
      </w:r>
    </w:p>
    <w:p w14:paraId="175DDA22"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Greater than 40% </w:t>
      </w:r>
    </w:p>
    <w:p w14:paraId="06861822"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3 (Gleason Score 4 + 3 = 7) </w:t>
      </w:r>
    </w:p>
    <w:p w14:paraId="6158724B" w14:textId="77777777"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Percentage of Pattern 4 </w:t>
      </w:r>
    </w:p>
    <w:p w14:paraId="19258BF4"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Less than 61% </w:t>
      </w:r>
    </w:p>
    <w:p w14:paraId="5076C7E9"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61 - 70% </w:t>
      </w:r>
    </w:p>
    <w:p w14:paraId="77E01F4A"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71 - 80% </w:t>
      </w:r>
    </w:p>
    <w:p w14:paraId="6C1D5E6E"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81 - 90% </w:t>
      </w:r>
    </w:p>
    <w:p w14:paraId="3DBC883D"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Greater than 90% </w:t>
      </w:r>
    </w:p>
    <w:p w14:paraId="04C363C1"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4 (Gleason Score 4 + 4 = 8) </w:t>
      </w:r>
    </w:p>
    <w:p w14:paraId="56D6A38D"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lastRenderedPageBreak/>
        <w:t xml:space="preserve">___ Grade group 4 (Gleason Score 3 + 5 = 8) </w:t>
      </w:r>
    </w:p>
    <w:p w14:paraId="034D3A28"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4 (Gleason Score 5 + 3 = 8) </w:t>
      </w:r>
    </w:p>
    <w:p w14:paraId="44BCD384"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5 (Gleason Score 4 + 5 = 9) </w:t>
      </w:r>
    </w:p>
    <w:p w14:paraId="1B0B57A2"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5 (Gleason Score 5 + 4 = 9) </w:t>
      </w:r>
    </w:p>
    <w:p w14:paraId="1D2DA2D1"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Grade group 5 (Gleason Score 5 + 5 = 10) </w:t>
      </w:r>
    </w:p>
    <w:p w14:paraId="7ACBF1E8" w14:textId="77777777" w:rsidR="00C74D95" w:rsidRPr="00275810" w:rsidRDefault="00C74D95">
      <w:pPr>
        <w:spacing w:after="0"/>
        <w:divId w:val="795563961"/>
        <w:rPr>
          <w:rFonts w:ascii="Arial" w:eastAsia="Times New Roman" w:hAnsi="Arial" w:cs="Arial"/>
          <w:sz w:val="20"/>
          <w:szCs w:val="20"/>
          <w:lang w:val="en"/>
        </w:rPr>
      </w:pPr>
    </w:p>
    <w:p w14:paraId="7D0C442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+If Gleason Score is Greater Than 7 Specify Percentage of Pattern 4: _________________ %</w:t>
      </w:r>
    </w:p>
    <w:p w14:paraId="5A9F2AD0" w14:textId="77777777" w:rsidR="00C74D95" w:rsidRPr="00275810" w:rsidRDefault="00C74D95">
      <w:pPr>
        <w:spacing w:after="0"/>
        <w:divId w:val="795563961"/>
        <w:rPr>
          <w:rFonts w:ascii="Arial" w:eastAsia="Times New Roman" w:hAnsi="Arial" w:cs="Arial"/>
          <w:sz w:val="20"/>
          <w:szCs w:val="20"/>
          <w:lang w:val="en"/>
        </w:rPr>
      </w:pPr>
    </w:p>
    <w:p w14:paraId="273A52A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+If Gleason Score is Greater Than 7 Specify Percentage of Pattern 5: _________________ %</w:t>
      </w:r>
    </w:p>
    <w:p w14:paraId="038138B2" w14:textId="77777777" w:rsidR="00C74D95" w:rsidRPr="00275810" w:rsidRDefault="00C74D95">
      <w:pPr>
        <w:spacing w:after="0"/>
        <w:divId w:val="795563961"/>
        <w:rPr>
          <w:rFonts w:ascii="Arial" w:eastAsia="Times New Roman" w:hAnsi="Arial" w:cs="Arial"/>
          <w:sz w:val="20"/>
          <w:szCs w:val="20"/>
          <w:lang w:val="en"/>
        </w:rPr>
      </w:pPr>
    </w:p>
    <w:p w14:paraId="0F68B359"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Intraductal Carcinoma (IDC) (Note </w:t>
      </w:r>
      <w:hyperlink w:anchor="2170" w:history="1">
        <w:r w:rsidRPr="00275810">
          <w:rPr>
            <w:rStyle w:val="Hyperlink"/>
            <w:rFonts w:ascii="Arial" w:eastAsia="Times New Roman" w:hAnsi="Arial" w:cs="Arial"/>
            <w:b/>
            <w:bCs/>
            <w:sz w:val="20"/>
            <w:szCs w:val="20"/>
            <w:lang w:val="en"/>
          </w:rPr>
          <w:t>D</w:t>
        </w:r>
      </w:hyperlink>
      <w:r w:rsidRPr="00275810">
        <w:rPr>
          <w:rFonts w:ascii="Arial" w:eastAsia="Times New Roman" w:hAnsi="Arial" w:cs="Arial"/>
          <w:b/>
          <w:bCs/>
          <w:sz w:val="20"/>
          <w:szCs w:val="20"/>
          <w:lang w:val="en"/>
        </w:rPr>
        <w:t xml:space="preserve">) </w:t>
      </w:r>
    </w:p>
    <w:p w14:paraId="3EB51707"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44413C23"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15ACE754" w14:textId="77777777" w:rsidR="00C74D95" w:rsidRPr="00275810" w:rsidRDefault="008C0CF6">
      <w:pPr>
        <w:spacing w:after="0"/>
        <w:ind w:firstLine="24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IDC Incorporated into Grade </w:t>
      </w:r>
    </w:p>
    <w:p w14:paraId="2533487A"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Yes </w:t>
      </w:r>
    </w:p>
    <w:p w14:paraId="3B702452"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No </w:t>
      </w:r>
    </w:p>
    <w:p w14:paraId="582E39E0"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006F2949" w14:textId="77777777" w:rsidR="00C74D95" w:rsidRPr="00275810" w:rsidRDefault="00C74D95">
      <w:pPr>
        <w:spacing w:after="0"/>
        <w:divId w:val="795563961"/>
        <w:rPr>
          <w:rFonts w:ascii="Arial" w:eastAsia="Times New Roman" w:hAnsi="Arial" w:cs="Arial"/>
          <w:sz w:val="20"/>
          <w:szCs w:val="20"/>
          <w:lang w:val="en"/>
        </w:rPr>
      </w:pPr>
    </w:p>
    <w:p w14:paraId="438F8001"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Cribriform Glands (applicable to Gleason score 7 or 8 cancer only) </w:t>
      </w:r>
    </w:p>
    <w:p w14:paraId="732E7FD3"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applicable </w:t>
      </w:r>
    </w:p>
    <w:p w14:paraId="59EAC8AC"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1F21549D"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5CB7D49D"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1364731D" w14:textId="77777777" w:rsidR="00C74D95" w:rsidRPr="00275810" w:rsidRDefault="00C74D95">
      <w:pPr>
        <w:spacing w:after="0"/>
        <w:divId w:val="795563961"/>
        <w:rPr>
          <w:rFonts w:ascii="Arial" w:eastAsia="Times New Roman" w:hAnsi="Arial" w:cs="Arial"/>
          <w:sz w:val="20"/>
          <w:szCs w:val="20"/>
          <w:lang w:val="en"/>
        </w:rPr>
      </w:pPr>
    </w:p>
    <w:p w14:paraId="0FA0DE7A"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Treatment Effect (select all that apply) </w:t>
      </w:r>
    </w:p>
    <w:p w14:paraId="2983B7FA"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 known presurgical therapy </w:t>
      </w:r>
    </w:p>
    <w:p w14:paraId="3D35BA80"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5140A1AE"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Radiation therapy effect present: _________________ </w:t>
      </w:r>
    </w:p>
    <w:p w14:paraId="3787809B"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Hormonal therapy effect present: _________________ </w:t>
      </w:r>
    </w:p>
    <w:p w14:paraId="645D7F77"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Other therapy effect(s) present (specify): _________________ </w:t>
      </w:r>
    </w:p>
    <w:p w14:paraId="71EFEB2B"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_________________ </w:t>
      </w:r>
    </w:p>
    <w:p w14:paraId="2800C1C6" w14:textId="77777777" w:rsidR="003F0F97" w:rsidRDefault="003F0F97">
      <w:pPr>
        <w:spacing w:after="0"/>
        <w:rPr>
          <w:rFonts w:ascii="Arial" w:eastAsia="Times New Roman" w:hAnsi="Arial" w:cs="Arial"/>
          <w:b/>
          <w:bCs/>
          <w:sz w:val="20"/>
          <w:szCs w:val="20"/>
          <w:lang w:val="en"/>
        </w:rPr>
      </w:pPr>
    </w:p>
    <w:p w14:paraId="1C1DC2E4" w14:textId="751B00F6"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TUMOR QUANTITATION (Note </w:t>
      </w:r>
      <w:hyperlink w:anchor="2171" w:history="1">
        <w:r w:rsidRPr="00275810">
          <w:rPr>
            <w:rStyle w:val="Hyperlink"/>
            <w:rFonts w:ascii="Arial" w:eastAsia="Times New Roman" w:hAnsi="Arial" w:cs="Arial"/>
            <w:b/>
            <w:bCs/>
            <w:sz w:val="20"/>
            <w:szCs w:val="20"/>
            <w:lang w:val="en"/>
          </w:rPr>
          <w:t>E</w:t>
        </w:r>
      </w:hyperlink>
      <w:r w:rsidRPr="00275810">
        <w:rPr>
          <w:rFonts w:ascii="Arial" w:eastAsia="Times New Roman" w:hAnsi="Arial" w:cs="Arial"/>
          <w:b/>
          <w:bCs/>
          <w:sz w:val="20"/>
          <w:szCs w:val="20"/>
          <w:lang w:val="en"/>
        </w:rPr>
        <w:t xml:space="preserve">) </w:t>
      </w:r>
    </w:p>
    <w:p w14:paraId="3CCA5874" w14:textId="77777777" w:rsidR="00C74D95" w:rsidRPr="00275810" w:rsidRDefault="008C0CF6">
      <w:pPr>
        <w:spacing w:after="0"/>
        <w:ind w:firstLine="24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Tumor Quantitation </w:t>
      </w:r>
    </w:p>
    <w:p w14:paraId="39B039C0" w14:textId="77777777"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For TURP Specimens </w:t>
      </w:r>
    </w:p>
    <w:p w14:paraId="38A44BE6" w14:textId="77777777"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Estimated Percentage of Prostate Involved by Tumor </w:t>
      </w:r>
    </w:p>
    <w:p w14:paraId="12008588"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Less than 1% </w:t>
      </w:r>
    </w:p>
    <w:p w14:paraId="390F771E"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1 - 5% </w:t>
      </w:r>
    </w:p>
    <w:p w14:paraId="21598308"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6 - 10% </w:t>
      </w:r>
    </w:p>
    <w:p w14:paraId="0204882D"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11 - 20% </w:t>
      </w:r>
    </w:p>
    <w:p w14:paraId="02E8D7A8"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21 - 30% </w:t>
      </w:r>
    </w:p>
    <w:p w14:paraId="39A5E914"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31 - 40% </w:t>
      </w:r>
    </w:p>
    <w:p w14:paraId="2CEB72B6"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41 - 50% </w:t>
      </w:r>
    </w:p>
    <w:p w14:paraId="5F9C8921"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51 - 60% </w:t>
      </w:r>
    </w:p>
    <w:p w14:paraId="1345AF1A"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61 - 70% </w:t>
      </w:r>
    </w:p>
    <w:p w14:paraId="735B3270"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71 - 80% </w:t>
      </w:r>
    </w:p>
    <w:p w14:paraId="0CAAE329"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81 - 90% </w:t>
      </w:r>
    </w:p>
    <w:p w14:paraId="12D941BD"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Greater than 90% </w:t>
      </w:r>
    </w:p>
    <w:p w14:paraId="33BB98B9" w14:textId="77777777" w:rsidR="00C74D95" w:rsidRPr="00275810" w:rsidRDefault="008C0CF6">
      <w:pPr>
        <w:spacing w:after="0"/>
        <w:ind w:firstLine="48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3EDEB95D" w14:textId="77777777"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+Number of Positive Chips: _________________ </w:t>
      </w:r>
    </w:p>
    <w:p w14:paraId="0179FB8E" w14:textId="77777777"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lastRenderedPageBreak/>
        <w:t xml:space="preserve">+Total Number of Chips: _________________ </w:t>
      </w:r>
    </w:p>
    <w:p w14:paraId="3BF9D912" w14:textId="77777777" w:rsidR="003F0F97" w:rsidRDefault="003F0F97">
      <w:pPr>
        <w:spacing w:after="0"/>
        <w:ind w:firstLine="240"/>
        <w:rPr>
          <w:rFonts w:ascii="Arial" w:eastAsia="Times New Roman" w:hAnsi="Arial" w:cs="Arial"/>
          <w:sz w:val="20"/>
          <w:szCs w:val="20"/>
          <w:lang w:val="en"/>
        </w:rPr>
      </w:pPr>
    </w:p>
    <w:p w14:paraId="3FB43719" w14:textId="40168BB1" w:rsidR="00C74D95" w:rsidRPr="00275810" w:rsidRDefault="008C0CF6">
      <w:pPr>
        <w:spacing w:after="0"/>
        <w:ind w:firstLine="240"/>
        <w:rPr>
          <w:rFonts w:ascii="Arial" w:eastAsia="Times New Roman" w:hAnsi="Arial" w:cs="Arial"/>
          <w:sz w:val="20"/>
          <w:szCs w:val="20"/>
          <w:lang w:val="en"/>
        </w:rPr>
      </w:pPr>
      <w:r w:rsidRPr="00275810">
        <w:rPr>
          <w:rFonts w:ascii="Arial" w:eastAsia="Times New Roman" w:hAnsi="Arial" w:cs="Arial"/>
          <w:sz w:val="20"/>
          <w:szCs w:val="20"/>
          <w:lang w:val="en"/>
        </w:rPr>
        <w:t xml:space="preserve">___ For Enucleation and Other Specimens </w:t>
      </w:r>
    </w:p>
    <w:p w14:paraId="7FB2A2FB" w14:textId="38AA4640" w:rsidR="00C74D95" w:rsidRPr="00275810" w:rsidRDefault="008C0CF6" w:rsidP="00275810">
      <w:pPr>
        <w:spacing w:after="0"/>
        <w:ind w:left="480"/>
        <w:rPr>
          <w:rFonts w:ascii="Arial" w:eastAsia="Times New Roman" w:hAnsi="Arial" w:cs="Arial"/>
          <w:b/>
          <w:bCs/>
          <w:sz w:val="20"/>
          <w:szCs w:val="20"/>
          <w:lang w:val="en"/>
        </w:rPr>
      </w:pPr>
      <w:r w:rsidRPr="00275810">
        <w:rPr>
          <w:rFonts w:ascii="Arial" w:eastAsia="Times New Roman" w:hAnsi="Arial" w:cs="Arial"/>
          <w:b/>
          <w:bCs/>
          <w:sz w:val="20"/>
          <w:szCs w:val="20"/>
          <w:lang w:val="en"/>
        </w:rPr>
        <w:t>Greatest Dimension of Dominant Nodule in Millimeters (mm) (if present): _____________</w:t>
      </w:r>
      <w:r w:rsidR="003F0F97">
        <w:rPr>
          <w:rFonts w:ascii="Arial" w:eastAsia="Times New Roman" w:hAnsi="Arial" w:cs="Arial"/>
          <w:b/>
          <w:bCs/>
          <w:sz w:val="20"/>
          <w:szCs w:val="20"/>
          <w:lang w:val="en"/>
        </w:rPr>
        <w:t xml:space="preserve"> </w:t>
      </w:r>
      <w:r w:rsidRPr="00275810">
        <w:rPr>
          <w:rFonts w:ascii="Arial" w:eastAsia="Times New Roman" w:hAnsi="Arial" w:cs="Arial"/>
          <w:b/>
          <w:bCs/>
          <w:sz w:val="20"/>
          <w:szCs w:val="20"/>
          <w:lang w:val="en"/>
        </w:rPr>
        <w:t>mm</w:t>
      </w:r>
    </w:p>
    <w:p w14:paraId="3495C471" w14:textId="77777777" w:rsidR="003F0F97" w:rsidRDefault="003F0F97">
      <w:pPr>
        <w:spacing w:after="0"/>
        <w:ind w:firstLine="720"/>
        <w:rPr>
          <w:rFonts w:ascii="Arial" w:eastAsia="Times New Roman" w:hAnsi="Arial" w:cs="Arial"/>
          <w:b/>
          <w:bCs/>
          <w:sz w:val="20"/>
          <w:szCs w:val="20"/>
          <w:lang w:val="en"/>
        </w:rPr>
      </w:pPr>
    </w:p>
    <w:p w14:paraId="032367E1" w14:textId="7755E096" w:rsidR="00C74D95" w:rsidRPr="00275810" w:rsidRDefault="008C0CF6">
      <w:pPr>
        <w:spacing w:after="0"/>
        <w:ind w:firstLine="720"/>
        <w:rPr>
          <w:rFonts w:ascii="Arial" w:eastAsia="Times New Roman" w:hAnsi="Arial" w:cs="Arial"/>
          <w:b/>
          <w:bCs/>
          <w:sz w:val="20"/>
          <w:szCs w:val="20"/>
          <w:lang w:val="en"/>
        </w:rPr>
      </w:pPr>
      <w:r w:rsidRPr="00275810">
        <w:rPr>
          <w:rFonts w:ascii="Arial" w:eastAsia="Times New Roman" w:hAnsi="Arial" w:cs="Arial"/>
          <w:b/>
          <w:bCs/>
          <w:sz w:val="20"/>
          <w:szCs w:val="20"/>
          <w:lang w:val="en"/>
        </w:rPr>
        <w:t>+Additional Dimension of Dominant Nodule in Millimeters (mm): ____ x ____ mm</w:t>
      </w:r>
    </w:p>
    <w:p w14:paraId="771592D8" w14:textId="77777777" w:rsidR="003F0F97" w:rsidRDefault="003F0F97">
      <w:pPr>
        <w:spacing w:after="0"/>
        <w:ind w:firstLine="480"/>
        <w:rPr>
          <w:rFonts w:ascii="Arial" w:eastAsia="Times New Roman" w:hAnsi="Arial" w:cs="Arial"/>
          <w:b/>
          <w:bCs/>
          <w:sz w:val="20"/>
          <w:szCs w:val="20"/>
          <w:lang w:val="en"/>
        </w:rPr>
      </w:pPr>
    </w:p>
    <w:p w14:paraId="0054DD69" w14:textId="709DF6E5" w:rsidR="00C74D95" w:rsidRPr="00275810" w:rsidRDefault="008C0CF6">
      <w:pPr>
        <w:spacing w:after="0"/>
        <w:ind w:firstLine="480"/>
        <w:rPr>
          <w:rFonts w:ascii="Arial" w:eastAsia="Times New Roman" w:hAnsi="Arial" w:cs="Arial"/>
          <w:b/>
          <w:bCs/>
          <w:sz w:val="20"/>
          <w:szCs w:val="20"/>
          <w:lang w:val="en"/>
        </w:rPr>
      </w:pPr>
      <w:r w:rsidRPr="00275810">
        <w:rPr>
          <w:rFonts w:ascii="Arial" w:eastAsia="Times New Roman" w:hAnsi="Arial" w:cs="Arial"/>
          <w:b/>
          <w:bCs/>
          <w:sz w:val="20"/>
          <w:szCs w:val="20"/>
          <w:lang w:val="en"/>
        </w:rPr>
        <w:t>Estimated Percentage of Prostatic Tissue Involved by Tumor: _________________ %</w:t>
      </w:r>
    </w:p>
    <w:p w14:paraId="52BEC13D" w14:textId="77777777" w:rsidR="00C74D95" w:rsidRPr="00275810" w:rsidRDefault="00C74D95">
      <w:pPr>
        <w:spacing w:after="0"/>
        <w:divId w:val="795563961"/>
        <w:rPr>
          <w:rFonts w:ascii="Arial" w:eastAsia="Times New Roman" w:hAnsi="Arial" w:cs="Arial"/>
          <w:sz w:val="20"/>
          <w:szCs w:val="20"/>
          <w:lang w:val="en"/>
        </w:rPr>
      </w:pPr>
    </w:p>
    <w:p w14:paraId="7B08258E"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Periprostatic Fat Invasion (report if identified in specimen) </w:t>
      </w:r>
    </w:p>
    <w:p w14:paraId="0295B7D1"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44B990E3"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1DF824A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Equivocal (explain): _________________ </w:t>
      </w:r>
    </w:p>
    <w:p w14:paraId="53A27FB1"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1C099A85" w14:textId="77777777" w:rsidR="00C74D95" w:rsidRPr="00275810" w:rsidRDefault="00C74D95">
      <w:pPr>
        <w:spacing w:after="0"/>
        <w:divId w:val="795563961"/>
        <w:rPr>
          <w:rFonts w:ascii="Arial" w:eastAsia="Times New Roman" w:hAnsi="Arial" w:cs="Arial"/>
          <w:sz w:val="20"/>
          <w:szCs w:val="20"/>
          <w:lang w:val="en"/>
        </w:rPr>
      </w:pPr>
    </w:p>
    <w:p w14:paraId="3779A567"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Seminal Vesicle Invasion (report if identified in specimen) </w:t>
      </w:r>
    </w:p>
    <w:p w14:paraId="50CB2607"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1C7EAA92"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42625637"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Equivocal (explain): _________________ </w:t>
      </w:r>
    </w:p>
    <w:p w14:paraId="51925824"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(explain): _________________ </w:t>
      </w:r>
    </w:p>
    <w:p w14:paraId="764C46F3" w14:textId="77777777" w:rsidR="00C74D95" w:rsidRPr="00275810" w:rsidRDefault="00C74D95">
      <w:pPr>
        <w:spacing w:after="0"/>
        <w:divId w:val="795563961"/>
        <w:rPr>
          <w:rFonts w:ascii="Arial" w:eastAsia="Times New Roman" w:hAnsi="Arial" w:cs="Arial"/>
          <w:sz w:val="20"/>
          <w:szCs w:val="20"/>
          <w:lang w:val="en"/>
        </w:rPr>
      </w:pPr>
    </w:p>
    <w:p w14:paraId="674ACB5D"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w:t>
      </w:r>
      <w:proofErr w:type="spellStart"/>
      <w:r w:rsidRPr="00275810">
        <w:rPr>
          <w:rFonts w:ascii="Arial" w:eastAsia="Times New Roman" w:hAnsi="Arial" w:cs="Arial"/>
          <w:b/>
          <w:bCs/>
          <w:sz w:val="20"/>
          <w:szCs w:val="20"/>
          <w:lang w:val="en"/>
        </w:rPr>
        <w:t>Lymphovascular</w:t>
      </w:r>
      <w:proofErr w:type="spellEnd"/>
      <w:r w:rsidRPr="00275810">
        <w:rPr>
          <w:rFonts w:ascii="Arial" w:eastAsia="Times New Roman" w:hAnsi="Arial" w:cs="Arial"/>
          <w:b/>
          <w:bCs/>
          <w:sz w:val="20"/>
          <w:szCs w:val="20"/>
          <w:lang w:val="en"/>
        </w:rPr>
        <w:t xml:space="preserve"> Invasion </w:t>
      </w:r>
    </w:p>
    <w:p w14:paraId="3B68AEFD"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3A0DF19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43F9BA8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Cannot be determined: _________________ </w:t>
      </w:r>
    </w:p>
    <w:p w14:paraId="5E754E8A" w14:textId="77777777" w:rsidR="00C74D95" w:rsidRPr="00275810" w:rsidRDefault="00C74D95">
      <w:pPr>
        <w:spacing w:after="0"/>
        <w:divId w:val="795563961"/>
        <w:rPr>
          <w:rFonts w:ascii="Arial" w:eastAsia="Times New Roman" w:hAnsi="Arial" w:cs="Arial"/>
          <w:sz w:val="20"/>
          <w:szCs w:val="20"/>
          <w:lang w:val="en"/>
        </w:rPr>
      </w:pPr>
    </w:p>
    <w:p w14:paraId="5552F63F"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+Perineural Invasion (Note </w:t>
      </w:r>
      <w:hyperlink w:anchor="2172" w:history="1">
        <w:r w:rsidRPr="00275810">
          <w:rPr>
            <w:rStyle w:val="Hyperlink"/>
            <w:rFonts w:ascii="Arial" w:eastAsia="Times New Roman" w:hAnsi="Arial" w:cs="Arial"/>
            <w:b/>
            <w:bCs/>
            <w:sz w:val="20"/>
            <w:szCs w:val="20"/>
            <w:lang w:val="en"/>
          </w:rPr>
          <w:t>F</w:t>
        </w:r>
      </w:hyperlink>
      <w:r w:rsidRPr="00275810">
        <w:rPr>
          <w:rFonts w:ascii="Arial" w:eastAsia="Times New Roman" w:hAnsi="Arial" w:cs="Arial"/>
          <w:b/>
          <w:bCs/>
          <w:sz w:val="20"/>
          <w:szCs w:val="20"/>
          <w:lang w:val="en"/>
        </w:rPr>
        <w:t xml:space="preserve">) </w:t>
      </w:r>
    </w:p>
    <w:p w14:paraId="6ABDC13A"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Not identified </w:t>
      </w:r>
    </w:p>
    <w:p w14:paraId="0CAAAEF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Present </w:t>
      </w:r>
    </w:p>
    <w:p w14:paraId="0B069B2A" w14:textId="77777777" w:rsidR="00C74D95" w:rsidRPr="00275810" w:rsidRDefault="00C74D95">
      <w:pPr>
        <w:spacing w:after="0"/>
        <w:divId w:val="795563961"/>
        <w:rPr>
          <w:rFonts w:ascii="Arial" w:eastAsia="Times New Roman" w:hAnsi="Arial" w:cs="Arial"/>
          <w:sz w:val="20"/>
          <w:szCs w:val="20"/>
          <w:lang w:val="en"/>
        </w:rPr>
      </w:pPr>
    </w:p>
    <w:p w14:paraId="177B498A"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ADDITIONAL FINDINGS </w:t>
      </w:r>
    </w:p>
    <w:p w14:paraId="6FC0FE35" w14:textId="77777777" w:rsidR="00C74D95" w:rsidRPr="00275810" w:rsidRDefault="00C74D95">
      <w:pPr>
        <w:spacing w:after="0"/>
        <w:divId w:val="795563961"/>
        <w:rPr>
          <w:rFonts w:ascii="Arial" w:eastAsia="Times New Roman" w:hAnsi="Arial" w:cs="Arial"/>
          <w:sz w:val="20"/>
          <w:szCs w:val="20"/>
          <w:lang w:val="en"/>
        </w:rPr>
      </w:pPr>
    </w:p>
    <w:p w14:paraId="59E5379B"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+Additional Findings (select all that apply) </w:t>
      </w:r>
    </w:p>
    <w:p w14:paraId="499314FE"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None identified </w:t>
      </w:r>
    </w:p>
    <w:p w14:paraId="2A992C64"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Atypical intraductal proliferation (AIP) </w:t>
      </w:r>
    </w:p>
    <w:p w14:paraId="5148C32E"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High-grade prostatic intraepithelial neoplasia (PIN) </w:t>
      </w:r>
    </w:p>
    <w:p w14:paraId="6F74A728"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Atypical adenomatous hyperplasia (adenosis) </w:t>
      </w:r>
    </w:p>
    <w:p w14:paraId="693D9580"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Nodular prostatic hyperplasia </w:t>
      </w:r>
    </w:p>
    <w:p w14:paraId="7A9D45F5"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Inflammation (specify type): _________________ </w:t>
      </w:r>
    </w:p>
    <w:p w14:paraId="7E91CEDF" w14:textId="77777777" w:rsidR="00C74D95" w:rsidRPr="00275810" w:rsidRDefault="008C0CF6">
      <w:p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___ Other (specify): _________________ </w:t>
      </w:r>
    </w:p>
    <w:p w14:paraId="3ABA3F6B" w14:textId="77777777" w:rsidR="00C74D95" w:rsidRPr="00275810" w:rsidRDefault="00C74D95">
      <w:pPr>
        <w:spacing w:after="0"/>
        <w:divId w:val="795563961"/>
        <w:rPr>
          <w:rFonts w:ascii="Arial" w:eastAsia="Times New Roman" w:hAnsi="Arial" w:cs="Arial"/>
          <w:sz w:val="20"/>
          <w:szCs w:val="20"/>
          <w:lang w:val="en"/>
        </w:rPr>
      </w:pPr>
    </w:p>
    <w:p w14:paraId="161FAFD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COMMENTS </w:t>
      </w:r>
    </w:p>
    <w:p w14:paraId="58A94E8D" w14:textId="77777777" w:rsidR="00C74D95" w:rsidRPr="00275810" w:rsidRDefault="00C74D95">
      <w:pPr>
        <w:spacing w:after="0"/>
        <w:divId w:val="795563961"/>
        <w:rPr>
          <w:rFonts w:ascii="Arial" w:eastAsia="Times New Roman" w:hAnsi="Arial" w:cs="Arial"/>
          <w:sz w:val="20"/>
          <w:szCs w:val="20"/>
          <w:lang w:val="en"/>
        </w:rPr>
      </w:pPr>
    </w:p>
    <w:p w14:paraId="72375EB2"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 xml:space="preserve">Comment(s): _________________ </w:t>
      </w:r>
    </w:p>
    <w:p w14:paraId="7A39962C" w14:textId="681CFDEF" w:rsidR="00C74D95" w:rsidRPr="00275810" w:rsidRDefault="00275810" w:rsidP="00275810">
      <w:pPr>
        <w:rPr>
          <w:rFonts w:ascii="Arial" w:eastAsia="Times New Roman" w:hAnsi="Arial" w:cs="Arial"/>
          <w:sz w:val="20"/>
          <w:szCs w:val="20"/>
          <w:lang w:val="en"/>
        </w:rPr>
      </w:pPr>
      <w:r>
        <w:rPr>
          <w:rFonts w:ascii="Arial" w:eastAsia="Times New Roman" w:hAnsi="Arial" w:cs="Arial"/>
          <w:sz w:val="20"/>
          <w:szCs w:val="20"/>
          <w:lang w:val="en"/>
        </w:rPr>
        <w:br w:type="page"/>
      </w:r>
    </w:p>
    <w:p w14:paraId="0B1B4A8A" w14:textId="77777777" w:rsidR="00C74D95" w:rsidRPr="00275810" w:rsidRDefault="008C0CF6" w:rsidP="000B3016">
      <w:pPr>
        <w:pBdr>
          <w:bottom w:val="single" w:sz="4" w:space="1" w:color="auto"/>
        </w:pBdr>
        <w:spacing w:after="0"/>
        <w:jc w:val="both"/>
        <w:rPr>
          <w:rFonts w:ascii="Arial" w:eastAsia="Times New Roman" w:hAnsi="Arial" w:cs="Arial"/>
          <w:b/>
          <w:bCs/>
          <w:sz w:val="24"/>
          <w:szCs w:val="24"/>
          <w:lang w:val="en"/>
        </w:rPr>
      </w:pPr>
      <w:r w:rsidRPr="00275810">
        <w:rPr>
          <w:rFonts w:ascii="Arial" w:eastAsia="Times New Roman" w:hAnsi="Arial" w:cs="Arial"/>
          <w:b/>
          <w:bCs/>
          <w:sz w:val="24"/>
          <w:szCs w:val="24"/>
          <w:lang w:val="en"/>
        </w:rPr>
        <w:lastRenderedPageBreak/>
        <w:t>Explanatory Notes</w:t>
      </w:r>
    </w:p>
    <w:p w14:paraId="3FCAF4C5" w14:textId="77777777" w:rsidR="00275810" w:rsidRDefault="00275810">
      <w:pPr>
        <w:spacing w:after="0"/>
        <w:rPr>
          <w:rFonts w:ascii="Arial" w:eastAsia="Times New Roman" w:hAnsi="Arial" w:cs="Arial"/>
          <w:b/>
          <w:bCs/>
          <w:sz w:val="20"/>
          <w:szCs w:val="20"/>
          <w:lang w:val="en"/>
        </w:rPr>
      </w:pPr>
    </w:p>
    <w:p w14:paraId="310755D1" w14:textId="0E431D62"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A. Submission of Tissue for Microscopic Evaluation in Transurethral Resection</w:t>
      </w:r>
    </w:p>
    <w:p w14:paraId="017409EC" w14:textId="4C019067" w:rsidR="00C74D95" w:rsidRPr="00275810" w:rsidRDefault="008C0CF6" w:rsidP="000B3016">
      <w:pPr>
        <w:spacing w:after="0"/>
        <w:jc w:val="both"/>
        <w:rPr>
          <w:rFonts w:ascii="Arial" w:eastAsia="Times New Roman" w:hAnsi="Arial" w:cs="Arial"/>
          <w:sz w:val="20"/>
          <w:szCs w:val="20"/>
          <w:lang w:val="en"/>
        </w:rPr>
      </w:pPr>
      <w:r w:rsidRPr="00275810">
        <w:rPr>
          <w:rFonts w:ascii="Arial" w:eastAsia="Times New Roman" w:hAnsi="Arial" w:cs="Arial"/>
          <w:sz w:val="20"/>
          <w:szCs w:val="20"/>
          <w:lang w:val="en"/>
        </w:rPr>
        <w:t>Transurethral resection specimens that weigh 12 grams or less should be submitted in their entirety.</w:t>
      </w:r>
      <w:hyperlink w:anchor="8398" w:tooltip="Humphrey&#10;PA, Walther PJ. Adenocarcinoma of the prostate, I: sampling considerations. Am J Clin Pathol. 1993;99:746-759." w:history="1">
        <w:r w:rsidRPr="00275810">
          <w:rPr>
            <w:rStyle w:val="Hyperlink"/>
            <w:rFonts w:ascii="Arial" w:eastAsia="Times New Roman" w:hAnsi="Arial" w:cs="Arial"/>
            <w:sz w:val="20"/>
            <w:szCs w:val="20"/>
            <w:vertAlign w:val="superscript"/>
            <w:lang w:val="en"/>
          </w:rPr>
          <w:t>1</w:t>
        </w:r>
      </w:hyperlink>
      <w:r w:rsidRPr="00275810">
        <w:rPr>
          <w:rFonts w:ascii="Arial" w:eastAsia="Times New Roman" w:hAnsi="Arial" w:cs="Arial"/>
          <w:sz w:val="20"/>
          <w:szCs w:val="20"/>
          <w:lang w:val="en"/>
        </w:rPr>
        <w:t> For specimens that weigh more than 12 g, the initial 12 g are submitted, and 1 cassette may be submitted for every additional 5 g of remaining tissue.</w:t>
      </w:r>
      <w:hyperlink w:anchor="8399" w:tooltip="Trpkov&#10;K, Thompson J, Kulaga A, Yilmaz A. How much tissue sampling is required when&#10;minimal prostate carcinoma is identified on transurethral resection? Arch Path Lab Med.&#10;2008;132(8):1313-1316." w:history="1">
        <w:r w:rsidRPr="00275810">
          <w:rPr>
            <w:rStyle w:val="Hyperlink"/>
            <w:rFonts w:ascii="Arial" w:eastAsia="Times New Roman" w:hAnsi="Arial" w:cs="Arial"/>
            <w:sz w:val="20"/>
            <w:szCs w:val="20"/>
            <w:vertAlign w:val="superscript"/>
            <w:lang w:val="en"/>
          </w:rPr>
          <w:t>2</w:t>
        </w:r>
      </w:hyperlink>
      <w:r w:rsidR="000B3016">
        <w:rPr>
          <w:rStyle w:val="Hyperlink"/>
          <w:rFonts w:ascii="Arial" w:eastAsia="Times New Roman" w:hAnsi="Arial" w:cs="Arial"/>
          <w:sz w:val="20"/>
          <w:szCs w:val="20"/>
          <w:vertAlign w:val="superscript"/>
          <w:lang w:val="en"/>
        </w:rPr>
        <w:tab/>
      </w:r>
      <w:r w:rsidRPr="00275810">
        <w:rPr>
          <w:rFonts w:ascii="Arial" w:eastAsia="Times New Roman" w:hAnsi="Arial" w:cs="Arial"/>
          <w:sz w:val="20"/>
          <w:szCs w:val="20"/>
          <w:lang w:val="en"/>
        </w:rPr>
        <w:br/>
      </w:r>
      <w:r w:rsidRPr="00275810">
        <w:rPr>
          <w:rFonts w:ascii="Arial" w:eastAsia="Times New Roman" w:hAnsi="Arial" w:cs="Arial"/>
          <w:sz w:val="20"/>
          <w:szCs w:val="20"/>
          <w:lang w:val="en"/>
        </w:rPr>
        <w:br/>
        <w:t>In general, random chips are submitted; however, if some chips are firmer or have a yellow or orange-yellow appearance, they should be submitted preferentially.</w:t>
      </w:r>
      <w:r w:rsidR="000B3016">
        <w:rPr>
          <w:rFonts w:ascii="Arial" w:eastAsia="Times New Roman" w:hAnsi="Arial" w:cs="Arial"/>
          <w:sz w:val="20"/>
          <w:szCs w:val="20"/>
          <w:lang w:val="en"/>
        </w:rPr>
        <w:tab/>
      </w:r>
      <w:r w:rsidRPr="00275810">
        <w:rPr>
          <w:rFonts w:ascii="Arial" w:eastAsia="Times New Roman" w:hAnsi="Arial" w:cs="Arial"/>
          <w:sz w:val="20"/>
          <w:szCs w:val="20"/>
          <w:lang w:val="en"/>
        </w:rPr>
        <w:br/>
      </w:r>
      <w:r w:rsidRPr="00275810">
        <w:rPr>
          <w:rFonts w:ascii="Arial" w:eastAsia="Times New Roman" w:hAnsi="Arial" w:cs="Arial"/>
          <w:sz w:val="20"/>
          <w:szCs w:val="20"/>
          <w:lang w:val="en"/>
        </w:rPr>
        <w:br/>
        <w:t>If an unsuspected carcinoma is found in tissue submitted, and it involves 5% or less of the tissue examined, the remaining tissue may be submitted for microscopic examination, especially in younger patients.</w:t>
      </w:r>
      <w:hyperlink w:anchor="8400" w:tooltip="Paner GP, Magi-Galluzzi C, Amin MB, Srigley JR: Adenocarcinoma of the prostate. In: Amin MB, Grignon DJ, Srigley JR, Eble JN,eds. Urological Pathology. Philadelphia, PA: Lippincott William &amp; Wilkins; 2014:559-673." w:history="1">
        <w:r w:rsidRPr="00275810">
          <w:rPr>
            <w:rStyle w:val="Hyperlink"/>
            <w:rFonts w:ascii="Arial" w:eastAsia="Times New Roman" w:hAnsi="Arial" w:cs="Arial"/>
            <w:sz w:val="20"/>
            <w:szCs w:val="20"/>
            <w:vertAlign w:val="superscript"/>
            <w:lang w:val="en"/>
          </w:rPr>
          <w:t>3</w:t>
        </w:r>
      </w:hyperlink>
      <w:r w:rsidRPr="00275810">
        <w:rPr>
          <w:rFonts w:ascii="Arial" w:eastAsia="Times New Roman" w:hAnsi="Arial" w:cs="Arial"/>
          <w:sz w:val="20"/>
          <w:szCs w:val="20"/>
          <w:lang w:val="en"/>
        </w:rPr>
        <w:t> Involvement in 5% or less of the tissue is considered as T1a, whereas involvement in greater than 5% is considered as T1b.</w:t>
      </w:r>
      <w:hyperlink w:anchor="8401" w:tooltip="Amin MB, Edge SB, Greene FL, et al, eds. AJCC Cancer Staging Manual. 8th ed. New York, NY: Springer; 2017." w:history="1">
        <w:r w:rsidRPr="00275810">
          <w:rPr>
            <w:rStyle w:val="Hyperlink"/>
            <w:rFonts w:ascii="Arial" w:eastAsia="Times New Roman" w:hAnsi="Arial" w:cs="Arial"/>
            <w:sz w:val="20"/>
            <w:szCs w:val="20"/>
            <w:vertAlign w:val="superscript"/>
            <w:lang w:val="en"/>
          </w:rPr>
          <w:t>4</w:t>
        </w:r>
      </w:hyperlink>
    </w:p>
    <w:p w14:paraId="5BAD51CA" w14:textId="77777777" w:rsidR="00C74D95" w:rsidRPr="00275810" w:rsidRDefault="008C0CF6">
      <w:pPr>
        <w:rPr>
          <w:rFonts w:ascii="Arial" w:hAnsi="Arial" w:cs="Arial"/>
          <w:sz w:val="20"/>
          <w:szCs w:val="20"/>
          <w:lang w:val="en"/>
        </w:rPr>
      </w:pPr>
      <w:r w:rsidRPr="00275810">
        <w:rPr>
          <w:rFonts w:ascii="Arial" w:hAnsi="Arial" w:cs="Arial"/>
          <w:sz w:val="20"/>
          <w:szCs w:val="20"/>
          <w:lang w:val="en"/>
        </w:rPr>
        <w:t> </w:t>
      </w:r>
    </w:p>
    <w:p w14:paraId="3D64801E"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0DB81586" w14:textId="77777777" w:rsidR="00275810" w:rsidRDefault="008C0CF6" w:rsidP="00275810">
      <w:pPr>
        <w:pStyle w:val="ListParagraph"/>
        <w:numPr>
          <w:ilvl w:val="0"/>
          <w:numId w:val="2"/>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Humphrey PA, Walther PJ. Adenocarcinoma of the prostate, I: sampling considerations. </w:t>
      </w:r>
      <w:r w:rsidRPr="00275810">
        <w:rPr>
          <w:rStyle w:val="Emphasis"/>
          <w:rFonts w:ascii="Arial" w:eastAsia="Times New Roman" w:hAnsi="Arial" w:cs="Arial"/>
          <w:sz w:val="20"/>
          <w:szCs w:val="20"/>
          <w:lang w:val="en"/>
        </w:rPr>
        <w:t xml:space="preserve">Am J Clin </w:t>
      </w:r>
      <w:proofErr w:type="spellStart"/>
      <w:r w:rsidRPr="00275810">
        <w:rPr>
          <w:rStyle w:val="Emphasis"/>
          <w:rFonts w:ascii="Arial" w:eastAsia="Times New Roman" w:hAnsi="Arial" w:cs="Arial"/>
          <w:sz w:val="20"/>
          <w:szCs w:val="20"/>
          <w:lang w:val="en"/>
        </w:rPr>
        <w:t>Pathol</w:t>
      </w:r>
      <w:proofErr w:type="spellEnd"/>
      <w:r w:rsidRPr="00275810">
        <w:rPr>
          <w:rStyle w:val="Emphasis"/>
          <w:rFonts w:ascii="Arial" w:eastAsia="Times New Roman" w:hAnsi="Arial" w:cs="Arial"/>
          <w:sz w:val="20"/>
          <w:szCs w:val="20"/>
          <w:lang w:val="en"/>
        </w:rPr>
        <w:t>.</w:t>
      </w:r>
      <w:r w:rsidRPr="00275810">
        <w:rPr>
          <w:rFonts w:ascii="Arial" w:eastAsia="Times New Roman" w:hAnsi="Arial" w:cs="Arial"/>
          <w:sz w:val="20"/>
          <w:szCs w:val="20"/>
          <w:lang w:val="en"/>
        </w:rPr>
        <w:t xml:space="preserve"> 1993;99:746-759.</w:t>
      </w:r>
    </w:p>
    <w:p w14:paraId="1D165DB0" w14:textId="77777777" w:rsidR="00275810" w:rsidRDefault="008C0CF6" w:rsidP="00275810">
      <w:pPr>
        <w:pStyle w:val="ListParagraph"/>
        <w:numPr>
          <w:ilvl w:val="0"/>
          <w:numId w:val="2"/>
        </w:numPr>
        <w:spacing w:after="0" w:line="240" w:lineRule="auto"/>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Trpkov</w:t>
      </w:r>
      <w:proofErr w:type="spellEnd"/>
      <w:r w:rsidRPr="00275810">
        <w:rPr>
          <w:rFonts w:ascii="Arial" w:eastAsia="Times New Roman" w:hAnsi="Arial" w:cs="Arial"/>
          <w:sz w:val="20"/>
          <w:szCs w:val="20"/>
          <w:lang w:val="en"/>
        </w:rPr>
        <w:t xml:space="preserve"> K, Thompson J, </w:t>
      </w:r>
      <w:proofErr w:type="spellStart"/>
      <w:r w:rsidRPr="00275810">
        <w:rPr>
          <w:rFonts w:ascii="Arial" w:eastAsia="Times New Roman" w:hAnsi="Arial" w:cs="Arial"/>
          <w:sz w:val="20"/>
          <w:szCs w:val="20"/>
          <w:lang w:val="en"/>
        </w:rPr>
        <w:t>Kulaga</w:t>
      </w:r>
      <w:proofErr w:type="spellEnd"/>
      <w:r w:rsidRPr="00275810">
        <w:rPr>
          <w:rFonts w:ascii="Arial" w:eastAsia="Times New Roman" w:hAnsi="Arial" w:cs="Arial"/>
          <w:sz w:val="20"/>
          <w:szCs w:val="20"/>
          <w:lang w:val="en"/>
        </w:rPr>
        <w:t xml:space="preserve"> A, Yilmaz A. How much tissue sampling is required when minimal prostate carcinoma is identified on transurethral resection? </w:t>
      </w:r>
      <w:r w:rsidRPr="00275810">
        <w:rPr>
          <w:rStyle w:val="Emphasis"/>
          <w:rFonts w:ascii="Arial" w:eastAsia="Times New Roman" w:hAnsi="Arial" w:cs="Arial"/>
          <w:sz w:val="20"/>
          <w:szCs w:val="20"/>
          <w:lang w:val="en"/>
        </w:rPr>
        <w:t>Arch Path Lab Med.</w:t>
      </w:r>
      <w:r w:rsidRPr="00275810">
        <w:rPr>
          <w:rFonts w:ascii="Arial" w:eastAsia="Times New Roman" w:hAnsi="Arial" w:cs="Arial"/>
          <w:sz w:val="20"/>
          <w:szCs w:val="20"/>
          <w:lang w:val="en"/>
        </w:rPr>
        <w:t xml:space="preserve"> 2008;132(8):1313-1316.</w:t>
      </w:r>
    </w:p>
    <w:p w14:paraId="2EB1CA3C" w14:textId="77777777" w:rsidR="00275810" w:rsidRDefault="008C0CF6" w:rsidP="00275810">
      <w:pPr>
        <w:pStyle w:val="ListParagraph"/>
        <w:numPr>
          <w:ilvl w:val="0"/>
          <w:numId w:val="2"/>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Paner GP, Magi-</w:t>
      </w:r>
      <w:proofErr w:type="spellStart"/>
      <w:r w:rsidRPr="00275810">
        <w:rPr>
          <w:rFonts w:ascii="Arial" w:eastAsia="Times New Roman" w:hAnsi="Arial" w:cs="Arial"/>
          <w:sz w:val="20"/>
          <w:szCs w:val="20"/>
          <w:lang w:val="en"/>
        </w:rPr>
        <w:t>Galluzzi</w:t>
      </w:r>
      <w:proofErr w:type="spellEnd"/>
      <w:r w:rsidRPr="00275810">
        <w:rPr>
          <w:rFonts w:ascii="Arial" w:eastAsia="Times New Roman" w:hAnsi="Arial" w:cs="Arial"/>
          <w:sz w:val="20"/>
          <w:szCs w:val="20"/>
          <w:lang w:val="en"/>
        </w:rPr>
        <w:t xml:space="preserve"> C, Amin MB, Srigley JR: Adenocarcinoma of the prostate. In: Amin MB, </w:t>
      </w:r>
      <w:proofErr w:type="spellStart"/>
      <w:r w:rsidRPr="00275810">
        <w:rPr>
          <w:rFonts w:ascii="Arial" w:eastAsia="Times New Roman" w:hAnsi="Arial" w:cs="Arial"/>
          <w:sz w:val="20"/>
          <w:szCs w:val="20"/>
          <w:lang w:val="en"/>
        </w:rPr>
        <w:t>Grignon</w:t>
      </w:r>
      <w:proofErr w:type="spellEnd"/>
      <w:r w:rsidRPr="00275810">
        <w:rPr>
          <w:rFonts w:ascii="Arial" w:eastAsia="Times New Roman" w:hAnsi="Arial" w:cs="Arial"/>
          <w:sz w:val="20"/>
          <w:szCs w:val="20"/>
          <w:lang w:val="en"/>
        </w:rPr>
        <w:t xml:space="preserve"> DJ, Srigley JR, </w:t>
      </w:r>
      <w:proofErr w:type="spellStart"/>
      <w:r w:rsidRPr="00275810">
        <w:rPr>
          <w:rFonts w:ascii="Arial" w:eastAsia="Times New Roman" w:hAnsi="Arial" w:cs="Arial"/>
          <w:sz w:val="20"/>
          <w:szCs w:val="20"/>
          <w:lang w:val="en"/>
        </w:rPr>
        <w:t>Eble</w:t>
      </w:r>
      <w:proofErr w:type="spellEnd"/>
      <w:r w:rsidRPr="00275810">
        <w:rPr>
          <w:rFonts w:ascii="Arial" w:eastAsia="Times New Roman" w:hAnsi="Arial" w:cs="Arial"/>
          <w:sz w:val="20"/>
          <w:szCs w:val="20"/>
          <w:lang w:val="en"/>
        </w:rPr>
        <w:t xml:space="preserve"> </w:t>
      </w:r>
      <w:proofErr w:type="spellStart"/>
      <w:r w:rsidRPr="00275810">
        <w:rPr>
          <w:rFonts w:ascii="Arial" w:eastAsia="Times New Roman" w:hAnsi="Arial" w:cs="Arial"/>
          <w:sz w:val="20"/>
          <w:szCs w:val="20"/>
          <w:lang w:val="en"/>
        </w:rPr>
        <w:t>JN,eds</w:t>
      </w:r>
      <w:proofErr w:type="spellEnd"/>
      <w:r w:rsidRPr="00275810">
        <w:rPr>
          <w:rFonts w:ascii="Arial" w:eastAsia="Times New Roman" w:hAnsi="Arial" w:cs="Arial"/>
          <w:sz w:val="20"/>
          <w:szCs w:val="20"/>
          <w:lang w:val="en"/>
        </w:rPr>
        <w:t>. Urological Pathology. Philadelphia, PA: Lippincott William &amp; Wilkins; 2014:559-673.</w:t>
      </w:r>
    </w:p>
    <w:p w14:paraId="1FE2F08B" w14:textId="1CB7156E" w:rsidR="00C74D95" w:rsidRDefault="008C0CF6" w:rsidP="00275810">
      <w:pPr>
        <w:pStyle w:val="ListParagraph"/>
        <w:numPr>
          <w:ilvl w:val="0"/>
          <w:numId w:val="2"/>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Amin MB, Edge SB, Greene FL, et al, eds. AJCC Cancer Staging Manual. 8th ed. New York, NY: Springer; 2017.</w:t>
      </w:r>
    </w:p>
    <w:p w14:paraId="36BDDCCD" w14:textId="77777777" w:rsidR="00275810" w:rsidRPr="00275810" w:rsidRDefault="00275810" w:rsidP="00275810">
      <w:pPr>
        <w:pStyle w:val="ListParagraph"/>
        <w:spacing w:after="0" w:line="240" w:lineRule="auto"/>
        <w:rPr>
          <w:rFonts w:ascii="Arial" w:eastAsia="Times New Roman" w:hAnsi="Arial" w:cs="Arial"/>
          <w:sz w:val="20"/>
          <w:szCs w:val="20"/>
          <w:lang w:val="en"/>
        </w:rPr>
      </w:pPr>
    </w:p>
    <w:p w14:paraId="6032C1DC"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B. Histologic Type</w:t>
      </w:r>
    </w:p>
    <w:p w14:paraId="16440C10" w14:textId="77777777" w:rsidR="00C74D95" w:rsidRPr="00275810" w:rsidRDefault="008C0CF6" w:rsidP="000B3016">
      <w:pPr>
        <w:spacing w:after="0"/>
        <w:jc w:val="both"/>
        <w:rPr>
          <w:rFonts w:ascii="Arial" w:eastAsia="Times New Roman" w:hAnsi="Arial" w:cs="Arial"/>
          <w:sz w:val="20"/>
          <w:szCs w:val="20"/>
          <w:lang w:val="en"/>
        </w:rPr>
      </w:pPr>
      <w:r w:rsidRPr="00275810">
        <w:rPr>
          <w:rFonts w:ascii="Arial" w:eastAsia="Times New Roman" w:hAnsi="Arial" w:cs="Arial"/>
          <w:sz w:val="20"/>
          <w:szCs w:val="20"/>
          <w:lang w:val="en"/>
        </w:rPr>
        <w:t>This protocol applies only to invasive adenocarcinomas of the prostate gland.</w:t>
      </w:r>
      <w:hyperlink w:anchor="8402" w:tooltip="Humphrey&#10;P, Amin MB, Berney D, Billis A, et al. Acinar adenocarcinoma. In: Moch H,&#10;Humphrey PA, Ulbright T, Reuter VE, eds. Pathology&#10;and Genetics: Tumors of the Urinary System and Male Genital Organs. 4th&#10;edition. WHO Classification of Tumors. Zurich, Switzer" w:history="1">
        <w:r w:rsidRPr="00275810">
          <w:rPr>
            <w:rStyle w:val="Hyperlink"/>
            <w:rFonts w:ascii="Arial" w:eastAsia="Times New Roman" w:hAnsi="Arial" w:cs="Arial"/>
            <w:sz w:val="20"/>
            <w:szCs w:val="20"/>
            <w:vertAlign w:val="superscript"/>
            <w:lang w:val="en"/>
          </w:rPr>
          <w:t>1</w:t>
        </w:r>
      </w:hyperlink>
      <w:r w:rsidRPr="00275810">
        <w:rPr>
          <w:rFonts w:ascii="Arial" w:eastAsia="Times New Roman" w:hAnsi="Arial" w:cs="Arial"/>
          <w:sz w:val="20"/>
          <w:szCs w:val="20"/>
          <w:lang w:val="en"/>
        </w:rPr>
        <w:t> Carcinomas other than adenocarcinoma are exceptionally uncommon, accounting for less than 1%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w:t>
      </w:r>
      <w:r w:rsidRPr="00275810">
        <w:rPr>
          <w:rFonts w:ascii="Arial" w:eastAsia="Times New Roman" w:hAnsi="Arial" w:cs="Arial"/>
          <w:sz w:val="20"/>
          <w:szCs w:val="20"/>
          <w:lang w:val="en"/>
        </w:rPr>
        <w:br/>
      </w:r>
      <w:r w:rsidRPr="00275810">
        <w:rPr>
          <w:rFonts w:ascii="Arial" w:eastAsia="Times New Roman" w:hAnsi="Arial" w:cs="Arial"/>
          <w:sz w:val="20"/>
          <w:szCs w:val="20"/>
          <w:lang w:val="en"/>
        </w:rPr>
        <w:br/>
        <w:t>Some adenocarcinoma variants have percentage cut-offs to render their diagnosis. Since examination of the entire tumor may not be amenable in TURP, a descriptive approach in their diagnosis should also be considered (</w:t>
      </w:r>
      <w:proofErr w:type="gramStart"/>
      <w:r w:rsidRPr="00275810">
        <w:rPr>
          <w:rFonts w:ascii="Arial" w:eastAsia="Times New Roman" w:hAnsi="Arial" w:cs="Arial"/>
          <w:sz w:val="20"/>
          <w:szCs w:val="20"/>
          <w:lang w:val="en"/>
        </w:rPr>
        <w:t>e.g.</w:t>
      </w:r>
      <w:proofErr w:type="gramEnd"/>
      <w:r w:rsidRPr="00275810">
        <w:rPr>
          <w:rFonts w:ascii="Arial" w:eastAsia="Times New Roman" w:hAnsi="Arial" w:cs="Arial"/>
          <w:sz w:val="20"/>
          <w:szCs w:val="20"/>
          <w:lang w:val="en"/>
        </w:rPr>
        <w:t xml:space="preserve"> adenocarcinoma with mucinous features, adenocarcinoma with signet ring-like cell features).  </w:t>
      </w:r>
      <w:r w:rsidRPr="00275810">
        <w:rPr>
          <w:rFonts w:ascii="Arial" w:eastAsia="Times New Roman" w:hAnsi="Arial" w:cs="Arial"/>
          <w:sz w:val="20"/>
          <w:szCs w:val="20"/>
          <w:lang w:val="en"/>
        </w:rPr>
        <w:br/>
      </w:r>
    </w:p>
    <w:p w14:paraId="5F397F3E"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5879B63A" w14:textId="0B09ED0A" w:rsidR="00C74D95" w:rsidRDefault="008C0CF6" w:rsidP="00275810">
      <w:pPr>
        <w:pStyle w:val="ListParagraph"/>
        <w:numPr>
          <w:ilvl w:val="0"/>
          <w:numId w:val="8"/>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Humphrey P, Amin MB, </w:t>
      </w:r>
      <w:proofErr w:type="spellStart"/>
      <w:r w:rsidRPr="00275810">
        <w:rPr>
          <w:rFonts w:ascii="Arial" w:eastAsia="Times New Roman" w:hAnsi="Arial" w:cs="Arial"/>
          <w:sz w:val="20"/>
          <w:szCs w:val="20"/>
          <w:lang w:val="en"/>
        </w:rPr>
        <w:t>Berney</w:t>
      </w:r>
      <w:proofErr w:type="spellEnd"/>
      <w:r w:rsidRPr="00275810">
        <w:rPr>
          <w:rFonts w:ascii="Arial" w:eastAsia="Times New Roman" w:hAnsi="Arial" w:cs="Arial"/>
          <w:sz w:val="20"/>
          <w:szCs w:val="20"/>
          <w:lang w:val="en"/>
        </w:rPr>
        <w:t xml:space="preserve"> D, </w:t>
      </w:r>
      <w:proofErr w:type="spellStart"/>
      <w:r w:rsidRPr="00275810">
        <w:rPr>
          <w:rFonts w:ascii="Arial" w:eastAsia="Times New Roman" w:hAnsi="Arial" w:cs="Arial"/>
          <w:sz w:val="20"/>
          <w:szCs w:val="20"/>
          <w:lang w:val="en"/>
        </w:rPr>
        <w:t>Billis</w:t>
      </w:r>
      <w:proofErr w:type="spellEnd"/>
      <w:r w:rsidRPr="00275810">
        <w:rPr>
          <w:rFonts w:ascii="Arial" w:eastAsia="Times New Roman" w:hAnsi="Arial" w:cs="Arial"/>
          <w:sz w:val="20"/>
          <w:szCs w:val="20"/>
          <w:lang w:val="en"/>
        </w:rPr>
        <w:t xml:space="preserve"> A, et al. Acinar adenocarcinoma. In: </w:t>
      </w:r>
      <w:proofErr w:type="spellStart"/>
      <w:r w:rsidRPr="00275810">
        <w:rPr>
          <w:rFonts w:ascii="Arial" w:eastAsia="Times New Roman" w:hAnsi="Arial" w:cs="Arial"/>
          <w:sz w:val="20"/>
          <w:szCs w:val="20"/>
          <w:lang w:val="en"/>
        </w:rPr>
        <w:t>Moch</w:t>
      </w:r>
      <w:proofErr w:type="spellEnd"/>
      <w:r w:rsidRPr="00275810">
        <w:rPr>
          <w:rFonts w:ascii="Arial" w:eastAsia="Times New Roman" w:hAnsi="Arial" w:cs="Arial"/>
          <w:sz w:val="20"/>
          <w:szCs w:val="20"/>
          <w:lang w:val="en"/>
        </w:rPr>
        <w:t xml:space="preserve"> H, Humphrey PA, </w:t>
      </w:r>
      <w:proofErr w:type="spellStart"/>
      <w:r w:rsidRPr="00275810">
        <w:rPr>
          <w:rFonts w:ascii="Arial" w:eastAsia="Times New Roman" w:hAnsi="Arial" w:cs="Arial"/>
          <w:sz w:val="20"/>
          <w:szCs w:val="20"/>
          <w:lang w:val="en"/>
        </w:rPr>
        <w:t>Ulbright</w:t>
      </w:r>
      <w:proofErr w:type="spellEnd"/>
      <w:r w:rsidRPr="00275810">
        <w:rPr>
          <w:rFonts w:ascii="Arial" w:eastAsia="Times New Roman" w:hAnsi="Arial" w:cs="Arial"/>
          <w:sz w:val="20"/>
          <w:szCs w:val="20"/>
          <w:lang w:val="en"/>
        </w:rPr>
        <w:t xml:space="preserve"> T, Reuter VE, eds. </w:t>
      </w:r>
      <w:r w:rsidRPr="00275810">
        <w:rPr>
          <w:rStyle w:val="Emphasis"/>
          <w:rFonts w:ascii="Arial" w:eastAsia="Times New Roman" w:hAnsi="Arial" w:cs="Arial"/>
          <w:sz w:val="20"/>
          <w:szCs w:val="20"/>
          <w:lang w:val="en"/>
        </w:rPr>
        <w:t>Pathology and Genetics: Tumors of the Urinary System and Male Genital Organs</w:t>
      </w:r>
      <w:r w:rsidRPr="00275810">
        <w:rPr>
          <w:rFonts w:ascii="Arial" w:eastAsia="Times New Roman" w:hAnsi="Arial" w:cs="Arial"/>
          <w:sz w:val="20"/>
          <w:szCs w:val="20"/>
          <w:lang w:val="en"/>
        </w:rPr>
        <w:t>. 4th edition. WHO Classification of Tumors. Zurich, Switzerland: WHO Press; 2015:3-28.</w:t>
      </w:r>
    </w:p>
    <w:p w14:paraId="16D76151" w14:textId="31BC48F6" w:rsidR="00275810" w:rsidRDefault="00275810">
      <w:pPr>
        <w:rPr>
          <w:rFonts w:ascii="Arial" w:eastAsia="Times New Roman" w:hAnsi="Arial" w:cs="Arial"/>
          <w:sz w:val="20"/>
          <w:szCs w:val="20"/>
          <w:lang w:val="en"/>
        </w:rPr>
      </w:pPr>
      <w:r>
        <w:rPr>
          <w:rFonts w:ascii="Arial" w:eastAsia="Times New Roman" w:hAnsi="Arial" w:cs="Arial"/>
          <w:sz w:val="20"/>
          <w:szCs w:val="20"/>
          <w:lang w:val="en"/>
        </w:rPr>
        <w:br w:type="page"/>
      </w:r>
    </w:p>
    <w:p w14:paraId="1F47D5D8" w14:textId="77777777" w:rsidR="00275810" w:rsidRPr="00275810" w:rsidRDefault="00275810" w:rsidP="00275810">
      <w:pPr>
        <w:pStyle w:val="ListParagraph"/>
        <w:spacing w:after="0"/>
        <w:rPr>
          <w:rFonts w:ascii="Arial" w:eastAsia="Times New Roman" w:hAnsi="Arial" w:cs="Arial"/>
          <w:sz w:val="20"/>
          <w:szCs w:val="20"/>
          <w:lang w:val="en"/>
        </w:rPr>
      </w:pPr>
    </w:p>
    <w:p w14:paraId="5050BCB1" w14:textId="7EA8D151" w:rsidR="00C74D95"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C. Histologic Grade</w:t>
      </w:r>
    </w:p>
    <w:p w14:paraId="2D730CBC" w14:textId="77777777" w:rsidR="00275810" w:rsidRPr="00275810" w:rsidRDefault="00275810">
      <w:pPr>
        <w:spacing w:after="0"/>
        <w:rPr>
          <w:rFonts w:ascii="Arial" w:eastAsia="Times New Roman" w:hAnsi="Arial" w:cs="Arial"/>
          <w:b/>
          <w:bCs/>
          <w:sz w:val="20"/>
          <w:szCs w:val="20"/>
          <w:lang w:val="en"/>
        </w:rPr>
      </w:pPr>
    </w:p>
    <w:p w14:paraId="7161D649" w14:textId="77777777" w:rsidR="00275810" w:rsidRDefault="008C0CF6" w:rsidP="00275810">
      <w:pPr>
        <w:keepNext/>
        <w:tabs>
          <w:tab w:val="left" w:pos="360"/>
        </w:tabs>
        <w:spacing w:after="0"/>
        <w:outlineLvl w:val="1"/>
        <w:rPr>
          <w:rFonts w:ascii="Arial" w:hAnsi="Arial" w:cs="Arial"/>
          <w:sz w:val="20"/>
          <w:szCs w:val="20"/>
          <w:u w:val="single"/>
          <w:lang w:val="en"/>
        </w:rPr>
      </w:pPr>
      <w:r w:rsidRPr="00275810">
        <w:rPr>
          <w:rFonts w:ascii="Arial" w:hAnsi="Arial" w:cs="Arial"/>
          <w:sz w:val="20"/>
          <w:szCs w:val="20"/>
          <w:u w:val="single"/>
          <w:lang w:val="en"/>
        </w:rPr>
        <w:t>Gleason Score</w:t>
      </w:r>
    </w:p>
    <w:p w14:paraId="3D5163F3" w14:textId="2E363A28" w:rsidR="00C74D95" w:rsidRPr="00275810" w:rsidRDefault="008C0CF6" w:rsidP="000B3016">
      <w:pPr>
        <w:keepNext/>
        <w:tabs>
          <w:tab w:val="left" w:pos="360"/>
        </w:tabs>
        <w:spacing w:after="0"/>
        <w:jc w:val="both"/>
        <w:outlineLvl w:val="1"/>
        <w:rPr>
          <w:rFonts w:ascii="Arial" w:hAnsi="Arial" w:cs="Arial"/>
          <w:sz w:val="20"/>
          <w:szCs w:val="20"/>
          <w:lang w:val="en"/>
        </w:rPr>
      </w:pPr>
      <w:r w:rsidRPr="00275810">
        <w:rPr>
          <w:rFonts w:ascii="Arial" w:hAnsi="Arial" w:cs="Arial"/>
          <w:sz w:val="20"/>
          <w:szCs w:val="20"/>
          <w:lang w:val="en"/>
        </w:rPr>
        <w:t>The Gleason grading system is recommended for use in all prostatic specimens containing adenocarcinoma, with the exception of those showing treatment effects, usually in the setting of androgen deprivation and radiation therapy.</w:t>
      </w:r>
      <w:hyperlink w:anchor="8403" w:tooltip="Humphrey P, Amin&#10;MB, Berney D, Billis A, et al. Acinar adenocarcinoma. In: Moch H, Humphrey PA,&#10;Ulbright T, Reuter VE, eds. Pathology and&#10;Genetics: Tumors of the Urinary System and Male Genital Organs. 4th&#10;edition. WHO Classification of Tumors. Zurich, Switzer" w:history="1">
        <w:r w:rsidRPr="00275810">
          <w:rPr>
            <w:rStyle w:val="Hyperlink"/>
            <w:rFonts w:ascii="Arial" w:hAnsi="Arial" w:cs="Arial"/>
            <w:sz w:val="20"/>
            <w:szCs w:val="20"/>
            <w:vertAlign w:val="superscript"/>
            <w:lang w:val="en"/>
          </w:rPr>
          <w:t>1,</w:t>
        </w:r>
      </w:hyperlink>
      <w:hyperlink w:anchor="8404" w:tooltip="Gleason DR,&#10;Mellinger GT, the Veterans Administration Cooperative Urological Research&#10;Group. Prediction of prognosis for prostate adenocarcinoma by combined&#10;histological grading and clinical staging. J&#10;Urol. 1974;111:58-64. " w:history="1">
        <w:r w:rsidRPr="00275810">
          <w:rPr>
            <w:rStyle w:val="Hyperlink"/>
            <w:rFonts w:ascii="Arial" w:hAnsi="Arial" w:cs="Arial"/>
            <w:sz w:val="20"/>
            <w:szCs w:val="20"/>
            <w:vertAlign w:val="superscript"/>
            <w:lang w:val="en"/>
          </w:rPr>
          <w:t>2,</w:t>
        </w:r>
      </w:hyperlink>
      <w:hyperlink w:anchor="8428" w:tooltip="Paner GP, Magi-Galluzzi C, Amin MB, Srigley JR: Adenocarcinoma of the prostate. In: Amin MB, Grignon DJ, Srigley JR, Eble JN, eds. Urological Pathology. Philadelphia, PA: Lippincott William &amp; Wilkins; 2014:559-673." w:history="1">
        <w:r w:rsidRPr="00275810">
          <w:rPr>
            <w:rStyle w:val="Hyperlink"/>
            <w:rFonts w:ascii="Arial" w:hAnsi="Arial" w:cs="Arial"/>
            <w:sz w:val="20"/>
            <w:szCs w:val="20"/>
            <w:vertAlign w:val="superscript"/>
            <w:lang w:val="en"/>
          </w:rPr>
          <w:t>3,</w:t>
        </w:r>
      </w:hyperlink>
      <w:hyperlink w:anchor="8408" w:tooltip="Epstein JI,&#10;Allsbrook Jr WC, Amin MB, Egevad L, ISUP Grading Committee. The 2005&#10;International Society of Urological Pathology (ISUP) Consensus Conference on&#10;Gleason Grading of Prostatic Carcinoma. Am&#10;J Surg Pathol. 2005;29:1228-1242." w:history="1">
        <w:r w:rsidRPr="00275810">
          <w:rPr>
            <w:rStyle w:val="Hyperlink"/>
            <w:rFonts w:ascii="Arial" w:hAnsi="Arial" w:cs="Arial"/>
            <w:sz w:val="20"/>
            <w:szCs w:val="20"/>
            <w:vertAlign w:val="superscript"/>
            <w:lang w:val="en"/>
          </w:rPr>
          <w:t>4,</w:t>
        </w:r>
      </w:hyperlink>
      <w:hyperlink w:anchor="8409" w:tooltip="Epstein JI, Egevad&#10;L, Amin MB, Delahunt B, Srigley JR, Humphrey PA; and the Grading Committee The&#10;2014 International Society of Urological Pathology (ISUP) Consensus Conference&#10;on Gleason Grading of Prostatic Carcinoma: definition of grading patterns and&#10;propo" w:history="1">
        <w:r w:rsidRPr="00275810">
          <w:rPr>
            <w:rStyle w:val="Hyperlink"/>
            <w:rFonts w:ascii="Arial" w:hAnsi="Arial" w:cs="Arial"/>
            <w:sz w:val="20"/>
            <w:szCs w:val="20"/>
            <w:vertAlign w:val="superscript"/>
            <w:lang w:val="en"/>
          </w:rPr>
          <w:t>5,</w:t>
        </w:r>
      </w:hyperlink>
      <w:hyperlink w:anchor="8423" w:tooltip="Epstein JI, Amin MB, Fine SW, et al. The 2019 Genitourinary Pathology Society (GUPS) White Paper on Contemporary Grading of Prostate Cancer. Arch Path Lab Med 2021;145:461-493." w:history="1">
        <w:r w:rsidRPr="00275810">
          <w:rPr>
            <w:rStyle w:val="Hyperlink"/>
            <w:rFonts w:ascii="Arial" w:hAnsi="Arial" w:cs="Arial"/>
            <w:sz w:val="20"/>
            <w:szCs w:val="20"/>
            <w:vertAlign w:val="superscript"/>
            <w:lang w:val="en"/>
          </w:rPr>
          <w:t>6,</w:t>
        </w:r>
      </w:hyperlink>
      <w:hyperlink w:anchor="8424" w:tooltip="van Leenders GJLH, van der Kwast TH, Grignon DJ, et al. The 2019 International Society of Urological Pathology (ISUP) Consensus Conference on Grading of Prostatic Carcinoma. Am J Surg Pathol 2020;44:e87-e99." w:history="1">
        <w:r w:rsidRPr="00275810">
          <w:rPr>
            <w:rStyle w:val="Hyperlink"/>
            <w:rFonts w:ascii="Arial" w:hAnsi="Arial" w:cs="Arial"/>
            <w:sz w:val="20"/>
            <w:szCs w:val="20"/>
            <w:vertAlign w:val="superscript"/>
            <w:lang w:val="en"/>
          </w:rPr>
          <w:t>7,</w:t>
        </w:r>
      </w:hyperlink>
      <w:hyperlink w:anchor="8422"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275810">
          <w:rPr>
            <w:rStyle w:val="Hyperlink"/>
            <w:rFonts w:ascii="Arial" w:hAnsi="Arial" w:cs="Arial"/>
            <w:sz w:val="20"/>
            <w:szCs w:val="20"/>
            <w:vertAlign w:val="superscript"/>
            <w:lang w:val="en"/>
          </w:rPr>
          <w:t>8,</w:t>
        </w:r>
      </w:hyperlink>
      <w:hyperlink w:anchor="8425" w:tooltip="Paner GP, Gandhi J, Choy B, et al. Essential updates in grading, morphotyping, reporting and staging of prostate carcinoma for general surgical pathologists. Arch Pathol Lab Med. 2019;140:55-564." w:history="1">
        <w:r w:rsidRPr="00275810">
          <w:rPr>
            <w:rStyle w:val="Hyperlink"/>
            <w:rFonts w:ascii="Arial" w:hAnsi="Arial" w:cs="Arial"/>
            <w:sz w:val="20"/>
            <w:szCs w:val="20"/>
            <w:vertAlign w:val="superscript"/>
            <w:lang w:val="en"/>
          </w:rPr>
          <w:t>9</w:t>
        </w:r>
      </w:hyperlink>
      <w:r w:rsidRPr="00275810">
        <w:rPr>
          <w:rFonts w:ascii="Arial" w:hAnsi="Arial" w:cs="Arial"/>
          <w:sz w:val="20"/>
          <w:szCs w:val="20"/>
          <w:lang w:val="en"/>
        </w:rPr>
        <w:t> Readers are referred to the recommendations of three ISUP consensus conferences and the GUPS position paper dealing with the contemporary usage of the Gleason system (also see Figure 1).</w:t>
      </w:r>
      <w:hyperlink w:anchor="8408" w:tooltip="Epstein JI,&#10;Allsbrook Jr WC, Amin MB, Egevad L, ISUP Grading Committee. The 2005&#10;International Society of Urological Pathology (ISUP) Consensus Conference on&#10;Gleason Grading of Prostatic Carcinoma. Am&#10;J Surg Pathol. 2005;29:1228-1242." w:history="1">
        <w:r w:rsidRPr="00275810">
          <w:rPr>
            <w:rStyle w:val="Hyperlink"/>
            <w:rFonts w:ascii="Arial" w:hAnsi="Arial" w:cs="Arial"/>
            <w:sz w:val="20"/>
            <w:szCs w:val="20"/>
            <w:vertAlign w:val="superscript"/>
            <w:lang w:val="en"/>
          </w:rPr>
          <w:t>4,</w:t>
        </w:r>
      </w:hyperlink>
      <w:hyperlink w:anchor="8409" w:tooltip="Epstein JI, Egevad&#10;L, Amin MB, Delahunt B, Srigley JR, Humphrey PA; and the Grading Committee The&#10;2014 International Society of Urological Pathology (ISUP) Consensus Conference&#10;on Gleason Grading of Prostatic Carcinoma: definition of grading patterns and&#10;propo" w:history="1">
        <w:r w:rsidRPr="00275810">
          <w:rPr>
            <w:rStyle w:val="Hyperlink"/>
            <w:rFonts w:ascii="Arial" w:hAnsi="Arial" w:cs="Arial"/>
            <w:sz w:val="20"/>
            <w:szCs w:val="20"/>
            <w:vertAlign w:val="superscript"/>
            <w:lang w:val="en"/>
          </w:rPr>
          <w:t>5,</w:t>
        </w:r>
      </w:hyperlink>
      <w:hyperlink w:anchor="8423" w:tooltip="Epstein JI, Amin MB, Fine SW, et al. The 2019 Genitourinary Pathology Society (GUPS) White Paper on Contemporary Grading of Prostate Cancer. Arch Path Lab Med 2021;145:461-493." w:history="1">
        <w:r w:rsidRPr="00275810">
          <w:rPr>
            <w:rStyle w:val="Hyperlink"/>
            <w:rFonts w:ascii="Arial" w:hAnsi="Arial" w:cs="Arial"/>
            <w:sz w:val="20"/>
            <w:szCs w:val="20"/>
            <w:vertAlign w:val="superscript"/>
            <w:lang w:val="en"/>
          </w:rPr>
          <w:t>6,</w:t>
        </w:r>
      </w:hyperlink>
      <w:hyperlink w:anchor="8424" w:tooltip="van Leenders GJLH, van der Kwast TH, Grignon DJ, et al. The 2019 International Society of Urological Pathology (ISUP) Consensus Conference on Grading of Prostatic Carcinoma. Am J Surg Pathol 2020;44:e87-e99." w:history="1">
        <w:r w:rsidRPr="00275810">
          <w:rPr>
            <w:rStyle w:val="Hyperlink"/>
            <w:rFonts w:ascii="Arial" w:hAnsi="Arial" w:cs="Arial"/>
            <w:sz w:val="20"/>
            <w:szCs w:val="20"/>
            <w:vertAlign w:val="superscript"/>
            <w:lang w:val="en"/>
          </w:rPr>
          <w:t>7</w:t>
        </w:r>
      </w:hyperlink>
    </w:p>
    <w:p w14:paraId="767445AE" w14:textId="77777777" w:rsidR="00C74D95" w:rsidRPr="00275810" w:rsidRDefault="008C0CF6" w:rsidP="000B3016">
      <w:pPr>
        <w:pStyle w:val="NormalWeb"/>
        <w:jc w:val="both"/>
        <w:rPr>
          <w:rFonts w:ascii="Arial" w:hAnsi="Arial" w:cs="Arial"/>
          <w:sz w:val="20"/>
          <w:szCs w:val="20"/>
          <w:lang w:val="en"/>
        </w:rPr>
      </w:pPr>
      <w:r w:rsidRPr="00275810">
        <w:rPr>
          <w:rFonts w:ascii="Arial" w:hAnsi="Arial" w:cs="Arial"/>
          <w:sz w:val="20"/>
          <w:szCs w:val="20"/>
          <w:lang w:val="en"/>
        </w:rPr>
        <w:t>The Gleason score is the sum of the primary (most predominant in terms of surface area of involvement) Gleason grade and the secondary (second most predominant) Gleason grade. Where no secondary Gleason grade exists, the primary Gleason grade is doubled to determine a Gleason score. The primary and secondary grades should be reported in addition to the Gleason score, that is, Gleason score 7(3+4) or 7(3+4). In TURP or enucleation specimens, Gleason score is the sum of the primary (most predominant) Gleason grade and highest Gleason grade.</w:t>
      </w:r>
    </w:p>
    <w:p w14:paraId="65A20D55" w14:textId="77777777" w:rsidR="00C74D95" w:rsidRPr="00275810" w:rsidRDefault="008C0CF6">
      <w:pPr>
        <w:rPr>
          <w:rFonts w:ascii="Arial" w:hAnsi="Arial" w:cs="Arial"/>
          <w:sz w:val="20"/>
          <w:szCs w:val="20"/>
          <w:lang w:val="en"/>
        </w:rPr>
      </w:pPr>
      <w:r w:rsidRPr="00275810">
        <w:rPr>
          <w:rFonts w:ascii="Arial" w:hAnsi="Arial" w:cs="Arial"/>
          <w:sz w:val="20"/>
          <w:szCs w:val="20"/>
          <w:lang w:val="en"/>
        </w:rPr>
        <w:t> </w:t>
      </w:r>
    </w:p>
    <w:p w14:paraId="14E67017" w14:textId="77777777" w:rsidR="00C74D95" w:rsidRPr="00275810" w:rsidRDefault="008C0CF6">
      <w:pPr>
        <w:rPr>
          <w:rFonts w:ascii="Arial" w:hAnsi="Arial" w:cs="Arial"/>
          <w:sz w:val="20"/>
          <w:szCs w:val="20"/>
          <w:lang w:val="en"/>
        </w:rPr>
      </w:pPr>
      <w:r w:rsidRPr="00275810">
        <w:rPr>
          <w:rFonts w:ascii="Arial" w:eastAsiaTheme="minorHAnsi" w:hAnsi="Arial" w:cs="Arial"/>
          <w:b/>
          <w:bCs/>
          <w:noProof/>
          <w:sz w:val="20"/>
          <w:szCs w:val="20"/>
        </w:rPr>
        <w:drawing>
          <wp:inline distT="0" distB="0" distL="0" distR="0" wp14:anchorId="1E2E8A9D" wp14:editId="7A8872B0">
            <wp:extent cx="2096135"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3019425"/>
                    </a:xfrm>
                    <a:prstGeom prst="rect">
                      <a:avLst/>
                    </a:prstGeom>
                    <a:noFill/>
                    <a:ln>
                      <a:noFill/>
                    </a:ln>
                  </pic:spPr>
                </pic:pic>
              </a:graphicData>
            </a:graphic>
          </wp:inline>
        </w:drawing>
      </w:r>
    </w:p>
    <w:p w14:paraId="6766DFA5" w14:textId="77777777" w:rsidR="00C74D95" w:rsidRPr="00275810" w:rsidRDefault="008C0CF6">
      <w:pPr>
        <w:rPr>
          <w:rFonts w:ascii="Arial" w:hAnsi="Arial" w:cs="Arial"/>
          <w:sz w:val="20"/>
          <w:szCs w:val="20"/>
          <w:lang w:val="en"/>
        </w:rPr>
      </w:pPr>
      <w:r w:rsidRPr="00275810">
        <w:rPr>
          <w:rStyle w:val="Strong"/>
          <w:rFonts w:ascii="Arial" w:hAnsi="Arial" w:cs="Arial"/>
          <w:sz w:val="20"/>
          <w:szCs w:val="20"/>
          <w:lang w:val="en"/>
        </w:rPr>
        <w:t>Figure 1.</w:t>
      </w:r>
      <w:r w:rsidRPr="00275810">
        <w:rPr>
          <w:rFonts w:ascii="Arial" w:hAnsi="Arial" w:cs="Arial"/>
          <w:sz w:val="20"/>
          <w:szCs w:val="20"/>
          <w:lang w:val="en"/>
        </w:rPr>
        <w:t xml:space="preserve"> 2015 modified ISUP Gleason schematic diagram.</w:t>
      </w:r>
      <w:hyperlink w:anchor="8409" w:tooltip="Epstein JI, Egevad&#10;L, Amin MB, Delahunt B, Srigley JR, Humphrey PA; and the Grading Committee The&#10;2014 International Society of Urological Pathology (ISUP) Consensus Conference&#10;on Gleason Grading of Prostatic Carcinoma: definition of grading patterns and&#10;propo" w:history="1">
        <w:r w:rsidRPr="00275810">
          <w:rPr>
            <w:rFonts w:ascii="Arial" w:hAnsi="Arial" w:cs="Arial"/>
            <w:color w:val="0000FF"/>
            <w:sz w:val="20"/>
            <w:szCs w:val="20"/>
            <w:u w:val="single"/>
            <w:vertAlign w:val="superscript"/>
            <w:lang w:val="en"/>
          </w:rPr>
          <w:t>5</w:t>
        </w:r>
      </w:hyperlink>
    </w:p>
    <w:p w14:paraId="709EAD1B" w14:textId="730DA983" w:rsidR="00C74D95" w:rsidRPr="00275810" w:rsidRDefault="008C0CF6" w:rsidP="000B3016">
      <w:pPr>
        <w:jc w:val="both"/>
        <w:rPr>
          <w:rFonts w:ascii="Arial" w:hAnsi="Arial" w:cs="Arial"/>
          <w:sz w:val="20"/>
          <w:szCs w:val="20"/>
          <w:lang w:val="en"/>
        </w:rPr>
      </w:pPr>
      <w:r w:rsidRPr="00275810">
        <w:rPr>
          <w:rFonts w:ascii="Arial" w:hAnsi="Arial" w:cs="Arial"/>
          <w:sz w:val="20"/>
          <w:szCs w:val="20"/>
          <w:lang w:val="en"/>
        </w:rPr>
        <w:t>In TURP specimens, with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 </w:t>
      </w:r>
      <w:r w:rsidR="000B3016">
        <w:rPr>
          <w:rFonts w:ascii="Arial" w:hAnsi="Arial" w:cs="Arial"/>
          <w:sz w:val="20"/>
          <w:szCs w:val="20"/>
          <w:lang w:val="en"/>
        </w:rPr>
        <w:tab/>
      </w:r>
      <w:r w:rsidRPr="00275810">
        <w:rPr>
          <w:rFonts w:ascii="Arial" w:hAnsi="Arial" w:cs="Arial"/>
          <w:sz w:val="20"/>
          <w:szCs w:val="20"/>
          <w:lang w:val="en"/>
        </w:rPr>
        <w:br/>
      </w:r>
      <w:r w:rsidRPr="00275810">
        <w:rPr>
          <w:rFonts w:ascii="Arial" w:hAnsi="Arial" w:cs="Arial"/>
          <w:sz w:val="20"/>
          <w:szCs w:val="20"/>
          <w:lang w:val="en"/>
        </w:rPr>
        <w:br/>
        <w:t>In TURP specimens where more than 2 patterns are present, and the worst grade is neither the predominant nor the secondary grade, the predominant and highest grade should be chosen to arrive at a score (</w:t>
      </w:r>
      <w:proofErr w:type="spellStart"/>
      <w:r w:rsidRPr="00275810">
        <w:rPr>
          <w:rFonts w:ascii="Arial" w:hAnsi="Arial" w:cs="Arial"/>
          <w:sz w:val="20"/>
          <w:szCs w:val="20"/>
          <w:lang w:val="en"/>
        </w:rPr>
        <w:t>eg</w:t>
      </w:r>
      <w:proofErr w:type="spellEnd"/>
      <w:r w:rsidRPr="00275810">
        <w:rPr>
          <w:rFonts w:ascii="Arial" w:hAnsi="Arial" w:cs="Arial"/>
          <w:sz w:val="20"/>
          <w:szCs w:val="20"/>
          <w:lang w:val="en"/>
        </w:rPr>
        <w:t>, 75% pattern 3, 20-25% pattern 4, less than 5% pattern 5 is scored as 3+5=8). </w:t>
      </w:r>
    </w:p>
    <w:p w14:paraId="1263E1CB" w14:textId="77777777" w:rsidR="00C74D95" w:rsidRPr="00275810" w:rsidRDefault="008C0CF6" w:rsidP="000B3016">
      <w:pPr>
        <w:jc w:val="both"/>
        <w:rPr>
          <w:rFonts w:ascii="Arial" w:hAnsi="Arial" w:cs="Arial"/>
          <w:sz w:val="20"/>
          <w:szCs w:val="20"/>
          <w:lang w:val="en"/>
        </w:rPr>
      </w:pPr>
      <w:r w:rsidRPr="00275810">
        <w:rPr>
          <w:rFonts w:ascii="Arial" w:hAnsi="Arial" w:cs="Arial"/>
          <w:sz w:val="20"/>
          <w:szCs w:val="20"/>
          <w:lang w:val="en"/>
        </w:rPr>
        <w:lastRenderedPageBreak/>
        <w:t>Another recommendation is that the percentage of pattern 4 should be reported in all Gleason score 7(3+4, 4+3) cases.</w:t>
      </w:r>
      <w:hyperlink w:anchor="8423" w:tooltip="Epstein JI, Amin MB, Fine SW, et al. The 2019 Genitourinary Pathology Society (GUPS) White Paper on Contemporary Grading of Prostate Cancer. Arch Path Lab Med 2021;145:461-493." w:history="1">
        <w:r w:rsidRPr="00275810">
          <w:rPr>
            <w:rFonts w:ascii="Arial" w:hAnsi="Arial" w:cs="Arial"/>
            <w:color w:val="0000FF"/>
            <w:sz w:val="20"/>
            <w:szCs w:val="20"/>
            <w:u w:val="single"/>
            <w:vertAlign w:val="superscript"/>
            <w:lang w:val="en"/>
          </w:rPr>
          <w:t>6,</w:t>
        </w:r>
      </w:hyperlink>
      <w:hyperlink w:anchor="8424" w:tooltip="van Leenders GJLH, van der Kwast TH, Grignon DJ, et al. The 2019 International Society of Urological Pathology (ISUP) Consensus Conference on Grading of Prostatic Carcinoma. Am J Surg Pathol 2020;44:e87-e99." w:history="1">
        <w:r w:rsidRPr="00275810">
          <w:rPr>
            <w:rFonts w:ascii="Arial" w:hAnsi="Arial" w:cs="Arial"/>
            <w:color w:val="0000FF"/>
            <w:sz w:val="20"/>
            <w:szCs w:val="20"/>
            <w:u w:val="single"/>
            <w:vertAlign w:val="superscript"/>
            <w:lang w:val="en"/>
          </w:rPr>
          <w:t>7,</w:t>
        </w:r>
      </w:hyperlink>
      <w:hyperlink w:anchor="8418" w:tooltip="Sauter G, Steurer&#10;S, Clauditz TS, et al. Clinical Utility of Quantitative Gleason Grading in&#10;Prostate Biopsies and Prostatectomy Specimens. Eur Urol. 2016;69:592-598." w:history="1">
        <w:r w:rsidRPr="00275810">
          <w:rPr>
            <w:rStyle w:val="Hyperlink"/>
            <w:rFonts w:ascii="Arial" w:hAnsi="Arial" w:cs="Arial"/>
            <w:sz w:val="20"/>
            <w:szCs w:val="20"/>
            <w:vertAlign w:val="superscript"/>
            <w:lang w:val="en"/>
          </w:rPr>
          <w:t>10,</w:t>
        </w:r>
      </w:hyperlink>
      <w:hyperlink w:anchor="8430" w:tooltip="Cole AI, Morgan TM, Spratt DE, et al. Prognostic value of percent Gleason grade 4 at prostate biopsy in predicting prostatectomy pathology and recurrence. J Urol 2016;196:405-411." w:history="1">
        <w:r w:rsidRPr="00275810">
          <w:rPr>
            <w:rStyle w:val="Hyperlink"/>
            <w:rFonts w:ascii="Arial" w:hAnsi="Arial" w:cs="Arial"/>
            <w:sz w:val="20"/>
            <w:szCs w:val="20"/>
            <w:vertAlign w:val="superscript"/>
            <w:lang w:val="en"/>
          </w:rPr>
          <w:t>11,</w:t>
        </w:r>
      </w:hyperlink>
      <w:hyperlink w:anchor="8419" w:tooltip="Choy B, Pearce SM,&#10;Anderson BB, et al. Prognostic significance of percentages and architectural&#10;types of contemporary Gleason pattern 4 prostate cancer in radical&#10;prostatectomy. Am J Surg Pathol.&#10;2016;40:1400-6." w:history="1">
        <w:r w:rsidRPr="00275810">
          <w:rPr>
            <w:rStyle w:val="Hyperlink"/>
            <w:rFonts w:ascii="Arial" w:hAnsi="Arial" w:cs="Arial"/>
            <w:sz w:val="20"/>
            <w:szCs w:val="20"/>
            <w:vertAlign w:val="superscript"/>
            <w:lang w:val="en"/>
          </w:rPr>
          <w:t>12</w:t>
        </w:r>
      </w:hyperlink>
      <w:r w:rsidRPr="00275810">
        <w:rPr>
          <w:rFonts w:ascii="Arial" w:hAnsi="Arial" w:cs="Arial"/>
          <w:sz w:val="20"/>
          <w:szCs w:val="20"/>
          <w:lang w:val="en"/>
        </w:rPr>
        <w:t> This measurement further stratifies Gleason score 7 and allows identification of cases with limited pattern 4 (e.g., &lt;10%) or extensive pattern 4 (e.g., &gt;80%). </w:t>
      </w:r>
    </w:p>
    <w:p w14:paraId="1CD9DB53" w14:textId="77777777" w:rsidR="00C74D95" w:rsidRPr="00275810" w:rsidRDefault="008C0CF6" w:rsidP="000B3016">
      <w:pPr>
        <w:jc w:val="both"/>
        <w:rPr>
          <w:rFonts w:ascii="Arial" w:hAnsi="Arial" w:cs="Arial"/>
          <w:sz w:val="20"/>
          <w:szCs w:val="20"/>
          <w:lang w:val="en"/>
        </w:rPr>
      </w:pPr>
      <w:r w:rsidRPr="00275810">
        <w:rPr>
          <w:rFonts w:ascii="Arial" w:hAnsi="Arial" w:cs="Arial"/>
          <w:sz w:val="20"/>
          <w:szCs w:val="20"/>
          <w:lang w:val="en"/>
        </w:rPr>
        <w:t xml:space="preserve">It is now recognized that Gleason pattern 4 has four basic architectures in cribriform, fused, poorly-formed and </w:t>
      </w:r>
      <w:proofErr w:type="spellStart"/>
      <w:r w:rsidRPr="00275810">
        <w:rPr>
          <w:rFonts w:ascii="Arial" w:hAnsi="Arial" w:cs="Arial"/>
          <w:sz w:val="20"/>
          <w:szCs w:val="20"/>
          <w:lang w:val="en"/>
        </w:rPr>
        <w:t>glomeruloid</w:t>
      </w:r>
      <w:proofErr w:type="spellEnd"/>
      <w:r w:rsidRPr="00275810">
        <w:rPr>
          <w:rFonts w:ascii="Arial" w:hAnsi="Arial" w:cs="Arial"/>
          <w:sz w:val="20"/>
          <w:szCs w:val="20"/>
          <w:lang w:val="en"/>
        </w:rPr>
        <w:t xml:space="preserve"> glands.</w:t>
      </w:r>
      <w:hyperlink w:anchor="8419" w:tooltip="Choy B, Pearce SM,&#10;Anderson BB, et al. Prognostic significance of percentages and architectural&#10;types of contemporary Gleason pattern 4 prostate cancer in radical&#10;prostatectomy. Am J Surg Pathol.&#10;2016;40:1400-6." w:history="1">
        <w:r w:rsidRPr="00275810">
          <w:rPr>
            <w:rStyle w:val="Hyperlink"/>
            <w:rFonts w:ascii="Arial" w:hAnsi="Arial" w:cs="Arial"/>
            <w:sz w:val="20"/>
            <w:szCs w:val="20"/>
            <w:vertAlign w:val="superscript"/>
            <w:lang w:val="en"/>
          </w:rPr>
          <w:t>12,</w:t>
        </w:r>
      </w:hyperlink>
      <w:hyperlink w:anchor="8426" w:tooltip="Iczkowski KA, Torkko KC, Kotnis GR, et al. Digital quantification of five high-grade prostate cancer patterns, including the cribriform pattern, and their association with adverse outcome. Am J Clin Pathol 2011;136:98-107." w:history="1">
        <w:r w:rsidRPr="00275810">
          <w:rPr>
            <w:rStyle w:val="Hyperlink"/>
            <w:rFonts w:ascii="Arial" w:hAnsi="Arial" w:cs="Arial"/>
            <w:sz w:val="20"/>
            <w:szCs w:val="20"/>
            <w:vertAlign w:val="superscript"/>
            <w:lang w:val="en"/>
          </w:rPr>
          <w:t>13,</w:t>
        </w:r>
      </w:hyperlink>
      <w:hyperlink w:anchor="8431" w:tooltip="Kweldam CF, Wildhagen MF, Steyerberg EW, et al. Cribriform growth is highly predictive for postoperative metastasis and disease-specific death in Gleason score 7 prostate cancer. Mod Pathol 2015;28:457-464." w:history="1">
        <w:r w:rsidRPr="00275810">
          <w:rPr>
            <w:rStyle w:val="Hyperlink"/>
            <w:rFonts w:ascii="Arial" w:hAnsi="Arial" w:cs="Arial"/>
            <w:sz w:val="20"/>
            <w:szCs w:val="20"/>
            <w:vertAlign w:val="superscript"/>
            <w:lang w:val="en"/>
          </w:rPr>
          <w:t>14</w:t>
        </w:r>
      </w:hyperlink>
      <w:r w:rsidRPr="00275810">
        <w:rPr>
          <w:rFonts w:ascii="Arial" w:hAnsi="Arial" w:cs="Arial"/>
          <w:sz w:val="20"/>
          <w:szCs w:val="20"/>
          <w:lang w:val="en"/>
        </w:rPr>
        <w:t> Among these architectures, cribriform has been shown to be an independent predictor of poorer outcome particularly in Gleason score 7 tumors and its presence is now recommended to be reported in Gleason pattern 4 cancer. There are recent attempts to standardize the definition of cribriform pattern.</w:t>
      </w:r>
      <w:hyperlink w:anchor="8427" w:tooltip="van der Kwast TH, van Leenders GJ, Berney DM, et al. ISUP consensus definition of cribriform prostate cancer. Am J Surg Pathol 2021. Online ahead of print." w:history="1">
        <w:r w:rsidRPr="00275810">
          <w:rPr>
            <w:rStyle w:val="Hyperlink"/>
            <w:rFonts w:ascii="Arial" w:hAnsi="Arial" w:cs="Arial"/>
            <w:sz w:val="20"/>
            <w:szCs w:val="20"/>
            <w:vertAlign w:val="superscript"/>
            <w:lang w:val="en"/>
          </w:rPr>
          <w:t>15</w:t>
        </w:r>
      </w:hyperlink>
      <w:r w:rsidRPr="00275810">
        <w:rPr>
          <w:rFonts w:ascii="Arial" w:hAnsi="Arial" w:cs="Arial"/>
          <w:sz w:val="20"/>
          <w:szCs w:val="20"/>
          <w:lang w:val="en"/>
        </w:rPr>
        <w:t> </w:t>
      </w:r>
    </w:p>
    <w:p w14:paraId="6CBFC9EE" w14:textId="77777777" w:rsidR="00C74D95" w:rsidRPr="00275810" w:rsidRDefault="008C0CF6" w:rsidP="000B3016">
      <w:pPr>
        <w:jc w:val="both"/>
        <w:rPr>
          <w:rFonts w:ascii="Arial" w:hAnsi="Arial" w:cs="Arial"/>
          <w:sz w:val="20"/>
          <w:szCs w:val="20"/>
          <w:lang w:val="en"/>
        </w:rPr>
      </w:pPr>
      <w:r w:rsidRPr="00275810">
        <w:rPr>
          <w:rFonts w:ascii="Arial" w:hAnsi="Arial" w:cs="Arial"/>
          <w:sz w:val="20"/>
          <w:szCs w:val="20"/>
          <w:lang w:val="en"/>
        </w:rPr>
        <w:t>The presence treatment effects to cancer should be reported and is important especially if Gleason grading is rendered not applicable.</w:t>
      </w:r>
      <w:hyperlink w:anchor="8428" w:tooltip="Paner GP, Magi-Galluzzi C, Amin MB, Srigley JR: Adenocarcinoma of the prostate. In: Amin MB, Grignon DJ, Srigley JR, Eble JN, eds. Urological Pathology. Philadelphia, PA: Lippincott William &amp; Wilkins; 2014:559-673." w:history="1">
        <w:r w:rsidRPr="00275810">
          <w:rPr>
            <w:rFonts w:ascii="Arial" w:hAnsi="Arial" w:cs="Arial"/>
            <w:color w:val="0000FF"/>
            <w:sz w:val="20"/>
            <w:szCs w:val="20"/>
            <w:u w:val="single"/>
            <w:vertAlign w:val="superscript"/>
            <w:lang w:val="en"/>
          </w:rPr>
          <w:t>3,</w:t>
        </w:r>
      </w:hyperlink>
      <w:hyperlink w:anchor="8408" w:tooltip="Epstein JI,&#10;Allsbrook Jr WC, Amin MB, Egevad L, ISUP Grading Committee. The 2005&#10;International Society of Urological Pathology (ISUP) Consensus Conference on&#10;Gleason Grading of Prostatic Carcinoma. Am&#10;J Surg Pathol. 2005;29:1228-1242." w:history="1">
        <w:r w:rsidRPr="00275810">
          <w:rPr>
            <w:rFonts w:ascii="Arial" w:hAnsi="Arial" w:cs="Arial"/>
            <w:color w:val="0000FF"/>
            <w:sz w:val="20"/>
            <w:szCs w:val="20"/>
            <w:u w:val="single"/>
            <w:vertAlign w:val="superscript"/>
            <w:lang w:val="en"/>
          </w:rPr>
          <w:t>4</w:t>
        </w:r>
      </w:hyperlink>
      <w:r w:rsidRPr="00275810">
        <w:rPr>
          <w:rFonts w:ascii="Arial" w:hAnsi="Arial" w:cs="Arial"/>
          <w:sz w:val="20"/>
          <w:szCs w:val="20"/>
          <w:lang w:val="en"/>
        </w:rPr>
        <w:t> It should be recognized that in post-treatment settings, grading may still be applied for prostate cancers lacking treatment effects particularly in new onset (de novo) cancers.</w:t>
      </w:r>
    </w:p>
    <w:p w14:paraId="14B293F1" w14:textId="6E2D0E95" w:rsidR="00C74D95" w:rsidRPr="00275810" w:rsidRDefault="008C0CF6" w:rsidP="000B3016">
      <w:pPr>
        <w:jc w:val="both"/>
        <w:rPr>
          <w:rFonts w:ascii="Arial" w:hAnsi="Arial" w:cs="Arial"/>
          <w:sz w:val="20"/>
          <w:szCs w:val="20"/>
          <w:lang w:val="en"/>
        </w:rPr>
      </w:pPr>
      <w:r w:rsidRPr="00275810">
        <w:rPr>
          <w:rFonts w:ascii="Arial" w:hAnsi="Arial" w:cs="Arial"/>
          <w:sz w:val="20"/>
          <w:szCs w:val="20"/>
          <w:u w:val="single"/>
          <w:lang w:val="en"/>
        </w:rPr>
        <w:t>Grade Group</w:t>
      </w:r>
      <w:r w:rsidR="000B3016" w:rsidRPr="000B3016">
        <w:rPr>
          <w:rFonts w:ascii="Arial" w:hAnsi="Arial" w:cs="Arial"/>
          <w:sz w:val="20"/>
          <w:szCs w:val="20"/>
          <w:lang w:val="en"/>
        </w:rPr>
        <w:tab/>
      </w:r>
      <w:r w:rsidRPr="00275810">
        <w:rPr>
          <w:rFonts w:ascii="Arial" w:hAnsi="Arial" w:cs="Arial"/>
          <w:sz w:val="20"/>
          <w:szCs w:val="20"/>
          <w:lang w:val="en"/>
        </w:rPr>
        <w:br/>
        <w:t>It is recognized that contemporary Gleason scores can be grouped into five prognostic categories, Grade groups 1-5.</w:t>
      </w:r>
      <w:hyperlink w:anchor="8412" w:tooltip="Pierorazio PM,&#10;Walsh PC, Partin AW, Epstein JI. Prognostic Gleason grade grouping: data based&#10;on the modified Gleason scoring system. BJU&#10;Int. 2013;111:753-760." w:history="1">
        <w:r w:rsidRPr="00275810">
          <w:rPr>
            <w:rStyle w:val="Hyperlink"/>
            <w:rFonts w:ascii="Arial" w:hAnsi="Arial" w:cs="Arial"/>
            <w:sz w:val="20"/>
            <w:szCs w:val="20"/>
            <w:vertAlign w:val="superscript"/>
            <w:lang w:val="en"/>
          </w:rPr>
          <w:t>16</w:t>
        </w:r>
      </w:hyperlink>
      <w:r w:rsidRPr="00275810">
        <w:rPr>
          <w:rFonts w:ascii="Arial" w:hAnsi="Arial" w:cs="Arial"/>
          <w:sz w:val="20"/>
          <w:szCs w:val="20"/>
          <w:lang w:val="en"/>
        </w:rPr>
        <w:t> This grade grouping has also been subsequently validated by other independent studies in surgical cohorts showing significant correlation with outcome.</w:t>
      </w:r>
      <w:hyperlink w:anchor="8414" w:tooltip="Epstein JI,&#10;Zelefsky MJ, Sjoberg DD, et al. A contemporary prostate cancer grading system:&#10;a validated alternative to the Gleason score. Eur Urol. 2016;69:428-435." w:history="1">
        <w:r w:rsidRPr="00275810">
          <w:rPr>
            <w:rStyle w:val="Hyperlink"/>
            <w:rFonts w:ascii="Arial" w:hAnsi="Arial" w:cs="Arial"/>
            <w:sz w:val="20"/>
            <w:szCs w:val="20"/>
            <w:vertAlign w:val="superscript"/>
            <w:lang w:val="en"/>
          </w:rPr>
          <w:t>17,</w:t>
        </w:r>
      </w:hyperlink>
      <w:hyperlink w:anchor="8417" w:tooltip="Berney DM, Beltran&#10;L, Fisher G, et al. Validation of a contemporary prostate cancer grading system&#10;using prostate cancer death as outcome. Br&#10;J Cancer. 2016;114(10):1078-1083. " w:history="1">
        <w:r w:rsidRPr="00275810">
          <w:rPr>
            <w:rStyle w:val="Hyperlink"/>
            <w:rFonts w:ascii="Arial" w:hAnsi="Arial" w:cs="Arial"/>
            <w:sz w:val="20"/>
            <w:szCs w:val="20"/>
            <w:vertAlign w:val="superscript"/>
            <w:lang w:val="en"/>
          </w:rPr>
          <w:t>18</w:t>
        </w:r>
      </w:hyperlink>
      <w:r w:rsidRPr="00275810">
        <w:rPr>
          <w:rFonts w:ascii="Arial" w:hAnsi="Arial" w:cs="Arial"/>
          <w:sz w:val="20"/>
          <w:szCs w:val="20"/>
          <w:lang w:val="en"/>
        </w:rPr>
        <w:t> The new grade grouping has been endorsed by ISUP, GUPS and in the 2016 WHO classification. The grade group is also referred to as ISUP grade or WHO grade in other publications.</w:t>
      </w:r>
      <w:hyperlink w:anchor="8403" w:tooltip="Humphrey P, Amin&#10;MB, Berney D, Billis A, et al. Acinar adenocarcinoma. In: Moch H, Humphrey PA,&#10;Ulbright T, Reuter VE, eds. Pathology and&#10;Genetics: Tumors of the Urinary System and Male Genital Organs. 4th&#10;edition. WHO Classification of Tumors. Zurich, Switzer" w:history="1">
        <w:r w:rsidRPr="00275810">
          <w:rPr>
            <w:rStyle w:val="Hyperlink"/>
            <w:rFonts w:ascii="Arial" w:hAnsi="Arial" w:cs="Arial"/>
            <w:sz w:val="20"/>
            <w:szCs w:val="20"/>
            <w:vertAlign w:val="superscript"/>
            <w:lang w:val="en"/>
          </w:rPr>
          <w:t>1,</w:t>
        </w:r>
      </w:hyperlink>
      <w:hyperlink w:anchor="8409" w:tooltip="Epstein JI, Egevad&#10;L, Amin MB, Delahunt B, Srigley JR, Humphrey PA; and the Grading Committee The&#10;2014 International Society of Urological Pathology (ISUP) Consensus Conference&#10;on Gleason Grading of Prostatic Carcinoma: definition of grading patterns and&#10;propo" w:history="1">
        <w:r w:rsidRPr="00275810">
          <w:rPr>
            <w:rFonts w:ascii="Arial" w:hAnsi="Arial" w:cs="Arial"/>
            <w:color w:val="0000FF"/>
            <w:sz w:val="20"/>
            <w:szCs w:val="20"/>
            <w:u w:val="single"/>
            <w:vertAlign w:val="superscript"/>
            <w:lang w:val="en"/>
          </w:rPr>
          <w:t>5,</w:t>
        </w:r>
      </w:hyperlink>
      <w:hyperlink w:anchor="8423" w:tooltip="Epstein JI, Amin MB, Fine SW, et al. The 2019 Genitourinary Pathology Society (GUPS) White Paper on Contemporary Grading of Prostate Cancer. Arch Path Lab Med 2021;145:461-493." w:history="1">
        <w:r w:rsidRPr="00275810">
          <w:rPr>
            <w:rFonts w:ascii="Arial" w:hAnsi="Arial" w:cs="Arial"/>
            <w:color w:val="0000FF"/>
            <w:sz w:val="20"/>
            <w:szCs w:val="20"/>
            <w:u w:val="single"/>
            <w:vertAlign w:val="superscript"/>
            <w:lang w:val="en"/>
          </w:rPr>
          <w:t>6,</w:t>
        </w:r>
      </w:hyperlink>
      <w:hyperlink w:anchor="8424" w:tooltip="van Leenders GJLH, van der Kwast TH, Grignon DJ, et al. The 2019 International Society of Urological Pathology (ISUP) Consensus Conference on Grading of Prostatic Carcinoma. Am J Surg Pathol 2020;44:e87-e99." w:history="1">
        <w:r w:rsidRPr="00275810">
          <w:rPr>
            <w:rFonts w:ascii="Arial" w:hAnsi="Arial" w:cs="Arial"/>
            <w:color w:val="0000FF"/>
            <w:sz w:val="20"/>
            <w:szCs w:val="20"/>
            <w:u w:val="single"/>
            <w:vertAlign w:val="superscript"/>
            <w:lang w:val="en"/>
          </w:rPr>
          <w:t>7</w:t>
        </w:r>
      </w:hyperlink>
      <w:r w:rsidRPr="00275810">
        <w:rPr>
          <w:rFonts w:ascii="Arial" w:hAnsi="Arial" w:cs="Arial"/>
          <w:sz w:val="20"/>
          <w:szCs w:val="20"/>
          <w:lang w:val="en"/>
        </w:rPr>
        <w:t> The grade group should be reported in parallel with the Gleason score.</w:t>
      </w:r>
    </w:p>
    <w:p w14:paraId="01E4CFAE" w14:textId="77777777" w:rsidR="00C74D95" w:rsidRPr="00275810" w:rsidRDefault="008C0CF6">
      <w:pPr>
        <w:rPr>
          <w:rFonts w:ascii="Arial" w:hAnsi="Arial" w:cs="Arial"/>
          <w:sz w:val="20"/>
          <w:szCs w:val="20"/>
          <w:lang w:val="en"/>
        </w:rPr>
      </w:pPr>
      <w:r w:rsidRPr="00275810">
        <w:rPr>
          <w:rStyle w:val="Strong"/>
          <w:rFonts w:ascii="Arial" w:hAnsi="Arial" w:cs="Arial"/>
          <w:sz w:val="20"/>
          <w:szCs w:val="20"/>
          <w:lang w:val="en"/>
        </w:rPr>
        <w:t>Table: Grade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557"/>
        <w:gridCol w:w="1609"/>
        <w:gridCol w:w="4723"/>
      </w:tblGrid>
      <w:tr w:rsidR="00C74D95" w:rsidRPr="00275810" w14:paraId="7CABDB63" w14:textId="77777777" w:rsidTr="00275810">
        <w:trPr>
          <w:trHeight w:val="20"/>
        </w:trPr>
        <w:tc>
          <w:tcPr>
            <w:tcW w:w="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FF8CA" w14:textId="77777777" w:rsidR="00C74D95" w:rsidRPr="00275810" w:rsidRDefault="008C0CF6" w:rsidP="00275810">
            <w:pPr>
              <w:spacing w:after="60" w:line="240" w:lineRule="auto"/>
              <w:rPr>
                <w:rFonts w:ascii="Arial" w:hAnsi="Arial" w:cs="Arial"/>
                <w:sz w:val="18"/>
                <w:szCs w:val="18"/>
              </w:rPr>
            </w:pPr>
            <w:r w:rsidRPr="00275810">
              <w:rPr>
                <w:rStyle w:val="Strong"/>
                <w:rFonts w:ascii="Arial" w:hAnsi="Arial" w:cs="Arial"/>
                <w:bCs w:val="0"/>
                <w:sz w:val="18"/>
                <w:szCs w:val="18"/>
              </w:rPr>
              <w:t>Grade Group</w:t>
            </w:r>
          </w:p>
        </w:tc>
        <w:tc>
          <w:tcPr>
            <w:tcW w:w="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8282B" w14:textId="77777777" w:rsidR="00C74D95" w:rsidRPr="00275810" w:rsidRDefault="008C0CF6" w:rsidP="00275810">
            <w:pPr>
              <w:spacing w:after="60" w:line="240" w:lineRule="auto"/>
              <w:rPr>
                <w:rFonts w:ascii="Arial" w:hAnsi="Arial" w:cs="Arial"/>
                <w:sz w:val="18"/>
                <w:szCs w:val="18"/>
              </w:rPr>
            </w:pPr>
            <w:r w:rsidRPr="00275810">
              <w:rPr>
                <w:rStyle w:val="Strong"/>
                <w:rFonts w:ascii="Arial" w:hAnsi="Arial" w:cs="Arial"/>
                <w:bCs w:val="0"/>
                <w:sz w:val="18"/>
                <w:szCs w:val="18"/>
              </w:rPr>
              <w:t> </w:t>
            </w:r>
          </w:p>
        </w:tc>
        <w:tc>
          <w:tcPr>
            <w:tcW w:w="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9A861" w14:textId="77777777" w:rsidR="00C74D95" w:rsidRPr="00275810" w:rsidRDefault="008C0CF6" w:rsidP="00275810">
            <w:pPr>
              <w:spacing w:after="60" w:line="240" w:lineRule="auto"/>
              <w:rPr>
                <w:rFonts w:ascii="Arial" w:hAnsi="Arial" w:cs="Arial"/>
                <w:sz w:val="18"/>
                <w:szCs w:val="18"/>
              </w:rPr>
            </w:pPr>
            <w:r w:rsidRPr="00275810">
              <w:rPr>
                <w:rStyle w:val="Strong"/>
                <w:rFonts w:ascii="Arial" w:hAnsi="Arial" w:cs="Arial"/>
                <w:bCs w:val="0"/>
                <w:sz w:val="18"/>
                <w:szCs w:val="18"/>
              </w:rPr>
              <w:t>Gleason Score</w:t>
            </w:r>
          </w:p>
        </w:tc>
        <w:tc>
          <w:tcPr>
            <w:tcW w:w="2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D51E8" w14:textId="77777777" w:rsidR="00C74D95" w:rsidRPr="00275810" w:rsidRDefault="008C0CF6" w:rsidP="00275810">
            <w:pPr>
              <w:spacing w:after="60" w:line="240" w:lineRule="auto"/>
              <w:rPr>
                <w:rFonts w:ascii="Arial" w:hAnsi="Arial" w:cs="Arial"/>
                <w:sz w:val="18"/>
                <w:szCs w:val="18"/>
              </w:rPr>
            </w:pPr>
            <w:r w:rsidRPr="00275810">
              <w:rPr>
                <w:rStyle w:val="Strong"/>
                <w:rFonts w:ascii="Arial" w:hAnsi="Arial" w:cs="Arial"/>
                <w:bCs w:val="0"/>
                <w:sz w:val="18"/>
                <w:szCs w:val="18"/>
              </w:rPr>
              <w:t>Definition</w:t>
            </w:r>
          </w:p>
        </w:tc>
      </w:tr>
      <w:tr w:rsidR="00C74D95" w:rsidRPr="00275810" w14:paraId="5CEEB78D" w14:textId="77777777" w:rsidTr="00275810">
        <w:trPr>
          <w:trHeight w:val="20"/>
        </w:trPr>
        <w:tc>
          <w:tcPr>
            <w:tcW w:w="881" w:type="pct"/>
            <w:tcBorders>
              <w:top w:val="single" w:sz="4" w:space="0" w:color="auto"/>
              <w:left w:val="single" w:sz="4" w:space="0" w:color="auto"/>
              <w:bottom w:val="single" w:sz="4" w:space="0" w:color="auto"/>
              <w:right w:val="single" w:sz="4" w:space="0" w:color="auto"/>
            </w:tcBorders>
            <w:vAlign w:val="center"/>
            <w:hideMark/>
          </w:tcPr>
          <w:p w14:paraId="680C6850"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1</w:t>
            </w:r>
          </w:p>
        </w:tc>
        <w:tc>
          <w:tcPr>
            <w:tcW w:w="813" w:type="pct"/>
            <w:tcBorders>
              <w:top w:val="single" w:sz="4" w:space="0" w:color="auto"/>
              <w:left w:val="single" w:sz="4" w:space="0" w:color="auto"/>
              <w:bottom w:val="single" w:sz="4" w:space="0" w:color="auto"/>
              <w:right w:val="single" w:sz="4" w:space="0" w:color="auto"/>
            </w:tcBorders>
            <w:hideMark/>
          </w:tcPr>
          <w:p w14:paraId="3F0AC5DD"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1B559258"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Less than or equal to 6</w:t>
            </w:r>
          </w:p>
        </w:tc>
        <w:tc>
          <w:tcPr>
            <w:tcW w:w="2466" w:type="pct"/>
            <w:tcBorders>
              <w:top w:val="single" w:sz="4" w:space="0" w:color="auto"/>
              <w:left w:val="single" w:sz="4" w:space="0" w:color="auto"/>
              <w:bottom w:val="single" w:sz="4" w:space="0" w:color="auto"/>
              <w:right w:val="single" w:sz="4" w:space="0" w:color="auto"/>
            </w:tcBorders>
            <w:vAlign w:val="center"/>
            <w:hideMark/>
          </w:tcPr>
          <w:p w14:paraId="3CDBF264"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Only individual discrete well-formed glands</w:t>
            </w:r>
          </w:p>
        </w:tc>
      </w:tr>
      <w:tr w:rsidR="00C74D95" w:rsidRPr="00275810" w14:paraId="3DCD6293" w14:textId="77777777" w:rsidTr="00275810">
        <w:trPr>
          <w:trHeight w:val="20"/>
        </w:trPr>
        <w:tc>
          <w:tcPr>
            <w:tcW w:w="881" w:type="pct"/>
            <w:tcBorders>
              <w:top w:val="single" w:sz="4" w:space="0" w:color="auto"/>
              <w:left w:val="single" w:sz="4" w:space="0" w:color="auto"/>
              <w:bottom w:val="single" w:sz="4" w:space="0" w:color="auto"/>
              <w:right w:val="single" w:sz="4" w:space="0" w:color="auto"/>
            </w:tcBorders>
            <w:vAlign w:val="center"/>
            <w:hideMark/>
          </w:tcPr>
          <w:p w14:paraId="4D04722A"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2</w:t>
            </w:r>
          </w:p>
        </w:tc>
        <w:tc>
          <w:tcPr>
            <w:tcW w:w="813" w:type="pct"/>
            <w:tcBorders>
              <w:top w:val="single" w:sz="4" w:space="0" w:color="auto"/>
              <w:left w:val="single" w:sz="4" w:space="0" w:color="auto"/>
              <w:bottom w:val="single" w:sz="4" w:space="0" w:color="auto"/>
              <w:right w:val="single" w:sz="4" w:space="0" w:color="auto"/>
            </w:tcBorders>
            <w:hideMark/>
          </w:tcPr>
          <w:p w14:paraId="3E9C9C36"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19218D20"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3+4=7</w:t>
            </w:r>
          </w:p>
        </w:tc>
        <w:tc>
          <w:tcPr>
            <w:tcW w:w="2466" w:type="pct"/>
            <w:tcBorders>
              <w:top w:val="single" w:sz="4" w:space="0" w:color="auto"/>
              <w:left w:val="single" w:sz="4" w:space="0" w:color="auto"/>
              <w:bottom w:val="single" w:sz="4" w:space="0" w:color="auto"/>
              <w:right w:val="single" w:sz="4" w:space="0" w:color="auto"/>
            </w:tcBorders>
            <w:vAlign w:val="center"/>
            <w:hideMark/>
          </w:tcPr>
          <w:p w14:paraId="372FBF5F"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Predominantly well-formed glands with lesser component of poorly formed/fused/cribriform glands</w:t>
            </w:r>
          </w:p>
        </w:tc>
      </w:tr>
      <w:tr w:rsidR="00C74D95" w:rsidRPr="00275810" w14:paraId="556FF1C4" w14:textId="77777777" w:rsidTr="00275810">
        <w:trPr>
          <w:trHeight w:val="20"/>
        </w:trPr>
        <w:tc>
          <w:tcPr>
            <w:tcW w:w="881" w:type="pct"/>
            <w:tcBorders>
              <w:top w:val="single" w:sz="4" w:space="0" w:color="auto"/>
              <w:left w:val="single" w:sz="4" w:space="0" w:color="auto"/>
              <w:bottom w:val="single" w:sz="4" w:space="0" w:color="auto"/>
              <w:right w:val="single" w:sz="4" w:space="0" w:color="auto"/>
            </w:tcBorders>
            <w:vAlign w:val="center"/>
            <w:hideMark/>
          </w:tcPr>
          <w:p w14:paraId="0B4B6AB0"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3</w:t>
            </w:r>
          </w:p>
        </w:tc>
        <w:tc>
          <w:tcPr>
            <w:tcW w:w="813" w:type="pct"/>
            <w:tcBorders>
              <w:top w:val="single" w:sz="4" w:space="0" w:color="auto"/>
              <w:left w:val="single" w:sz="4" w:space="0" w:color="auto"/>
              <w:bottom w:val="single" w:sz="4" w:space="0" w:color="auto"/>
              <w:right w:val="single" w:sz="4" w:space="0" w:color="auto"/>
            </w:tcBorders>
            <w:hideMark/>
          </w:tcPr>
          <w:p w14:paraId="674887C6"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648DACB7"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4+3=7</w:t>
            </w:r>
          </w:p>
        </w:tc>
        <w:tc>
          <w:tcPr>
            <w:tcW w:w="2466" w:type="pct"/>
            <w:tcBorders>
              <w:top w:val="single" w:sz="4" w:space="0" w:color="auto"/>
              <w:left w:val="single" w:sz="4" w:space="0" w:color="auto"/>
              <w:bottom w:val="single" w:sz="4" w:space="0" w:color="auto"/>
              <w:right w:val="single" w:sz="4" w:space="0" w:color="auto"/>
            </w:tcBorders>
            <w:vAlign w:val="center"/>
            <w:hideMark/>
          </w:tcPr>
          <w:p w14:paraId="2A27D700"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Predominantly poorly formed/fused/cribriform glands with lesser component (#) of well-formed glands</w:t>
            </w:r>
          </w:p>
        </w:tc>
      </w:tr>
      <w:tr w:rsidR="00C74D95" w:rsidRPr="00275810" w14:paraId="1690CCE3" w14:textId="77777777" w:rsidTr="00275810">
        <w:trPr>
          <w:trHeight w:val="20"/>
        </w:trPr>
        <w:tc>
          <w:tcPr>
            <w:tcW w:w="881" w:type="pct"/>
            <w:vMerge w:val="restart"/>
            <w:tcBorders>
              <w:top w:val="single" w:sz="4" w:space="0" w:color="auto"/>
              <w:left w:val="single" w:sz="4" w:space="0" w:color="auto"/>
              <w:bottom w:val="single" w:sz="4" w:space="0" w:color="auto"/>
              <w:right w:val="single" w:sz="4" w:space="0" w:color="auto"/>
            </w:tcBorders>
            <w:vAlign w:val="center"/>
            <w:hideMark/>
          </w:tcPr>
          <w:p w14:paraId="429AD314"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4</w:t>
            </w:r>
          </w:p>
        </w:tc>
        <w:tc>
          <w:tcPr>
            <w:tcW w:w="813" w:type="pct"/>
            <w:tcBorders>
              <w:top w:val="single" w:sz="4" w:space="0" w:color="auto"/>
              <w:left w:val="single" w:sz="4" w:space="0" w:color="auto"/>
              <w:bottom w:val="single" w:sz="4" w:space="0" w:color="auto"/>
              <w:right w:val="single" w:sz="4" w:space="0" w:color="auto"/>
            </w:tcBorders>
            <w:hideMark/>
          </w:tcPr>
          <w:p w14:paraId="48A08F2A"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A1237C"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4+4=8</w:t>
            </w:r>
          </w:p>
        </w:tc>
        <w:tc>
          <w:tcPr>
            <w:tcW w:w="2466" w:type="pct"/>
            <w:tcBorders>
              <w:top w:val="single" w:sz="4" w:space="0" w:color="auto"/>
              <w:left w:val="single" w:sz="4" w:space="0" w:color="auto"/>
              <w:bottom w:val="single" w:sz="4" w:space="0" w:color="auto"/>
              <w:right w:val="single" w:sz="4" w:space="0" w:color="auto"/>
            </w:tcBorders>
            <w:vAlign w:val="center"/>
            <w:hideMark/>
          </w:tcPr>
          <w:p w14:paraId="0ADB351A"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Only poorly formed/fused/cribriform glands</w:t>
            </w:r>
          </w:p>
        </w:tc>
      </w:tr>
      <w:tr w:rsidR="00C74D95" w:rsidRPr="00275810" w14:paraId="76658AC4" w14:textId="77777777" w:rsidTr="00275810">
        <w:trPr>
          <w:trHeight w:val="20"/>
        </w:trPr>
        <w:tc>
          <w:tcPr>
            <w:tcW w:w="881" w:type="pct"/>
            <w:vMerge/>
            <w:tcBorders>
              <w:top w:val="single" w:sz="4" w:space="0" w:color="auto"/>
              <w:left w:val="single" w:sz="4" w:space="0" w:color="auto"/>
              <w:bottom w:val="single" w:sz="4" w:space="0" w:color="auto"/>
              <w:right w:val="single" w:sz="4" w:space="0" w:color="auto"/>
            </w:tcBorders>
            <w:vAlign w:val="center"/>
            <w:hideMark/>
          </w:tcPr>
          <w:p w14:paraId="4C10DAE9" w14:textId="77777777" w:rsidR="00C74D95" w:rsidRPr="00275810" w:rsidRDefault="00C74D95" w:rsidP="00275810">
            <w:pPr>
              <w:spacing w:after="60" w:line="240" w:lineRule="auto"/>
              <w:rPr>
                <w:rFonts w:ascii="Arial" w:hAnsi="Arial" w:cs="Arial"/>
                <w:sz w:val="18"/>
                <w:szCs w:val="18"/>
              </w:rPr>
            </w:pPr>
          </w:p>
        </w:tc>
        <w:tc>
          <w:tcPr>
            <w:tcW w:w="813" w:type="pct"/>
            <w:tcBorders>
              <w:top w:val="single" w:sz="4" w:space="0" w:color="auto"/>
              <w:left w:val="single" w:sz="4" w:space="0" w:color="auto"/>
              <w:bottom w:val="single" w:sz="4" w:space="0" w:color="auto"/>
              <w:right w:val="single" w:sz="4" w:space="0" w:color="auto"/>
            </w:tcBorders>
            <w:hideMark/>
          </w:tcPr>
          <w:p w14:paraId="3DAAEA32"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60E759ED"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3+5=8</w:t>
            </w:r>
          </w:p>
        </w:tc>
        <w:tc>
          <w:tcPr>
            <w:tcW w:w="2466" w:type="pct"/>
            <w:tcBorders>
              <w:top w:val="single" w:sz="4" w:space="0" w:color="auto"/>
              <w:left w:val="single" w:sz="4" w:space="0" w:color="auto"/>
              <w:bottom w:val="single" w:sz="4" w:space="0" w:color="auto"/>
              <w:right w:val="single" w:sz="4" w:space="0" w:color="auto"/>
            </w:tcBorders>
            <w:vAlign w:val="center"/>
            <w:hideMark/>
          </w:tcPr>
          <w:p w14:paraId="2671CA2B"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Predominantly well-formed glands and lesser component (##) lacking glands (or with necrosis)</w:t>
            </w:r>
          </w:p>
        </w:tc>
      </w:tr>
      <w:tr w:rsidR="00C74D95" w:rsidRPr="00275810" w14:paraId="136D81C5" w14:textId="77777777" w:rsidTr="00275810">
        <w:trPr>
          <w:trHeight w:val="20"/>
        </w:trPr>
        <w:tc>
          <w:tcPr>
            <w:tcW w:w="881" w:type="pct"/>
            <w:vMerge/>
            <w:tcBorders>
              <w:top w:val="single" w:sz="4" w:space="0" w:color="auto"/>
              <w:left w:val="single" w:sz="4" w:space="0" w:color="auto"/>
              <w:bottom w:val="single" w:sz="4" w:space="0" w:color="auto"/>
              <w:right w:val="single" w:sz="4" w:space="0" w:color="auto"/>
            </w:tcBorders>
            <w:vAlign w:val="center"/>
            <w:hideMark/>
          </w:tcPr>
          <w:p w14:paraId="3089756B" w14:textId="77777777" w:rsidR="00C74D95" w:rsidRPr="00275810" w:rsidRDefault="00C74D95" w:rsidP="00275810">
            <w:pPr>
              <w:spacing w:after="60" w:line="240" w:lineRule="auto"/>
              <w:rPr>
                <w:rFonts w:ascii="Arial" w:hAnsi="Arial" w:cs="Arial"/>
                <w:sz w:val="18"/>
                <w:szCs w:val="18"/>
              </w:rPr>
            </w:pPr>
          </w:p>
        </w:tc>
        <w:tc>
          <w:tcPr>
            <w:tcW w:w="813" w:type="pct"/>
            <w:tcBorders>
              <w:top w:val="single" w:sz="4" w:space="0" w:color="auto"/>
              <w:left w:val="single" w:sz="4" w:space="0" w:color="auto"/>
              <w:bottom w:val="single" w:sz="4" w:space="0" w:color="auto"/>
              <w:right w:val="single" w:sz="4" w:space="0" w:color="auto"/>
            </w:tcBorders>
            <w:hideMark/>
          </w:tcPr>
          <w:p w14:paraId="246A5939"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1EEDA0E6"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5+3=8</w:t>
            </w:r>
          </w:p>
        </w:tc>
        <w:tc>
          <w:tcPr>
            <w:tcW w:w="2466" w:type="pct"/>
            <w:tcBorders>
              <w:top w:val="single" w:sz="4" w:space="0" w:color="auto"/>
              <w:left w:val="single" w:sz="4" w:space="0" w:color="auto"/>
              <w:bottom w:val="single" w:sz="4" w:space="0" w:color="auto"/>
              <w:right w:val="single" w:sz="4" w:space="0" w:color="auto"/>
            </w:tcBorders>
            <w:vAlign w:val="center"/>
            <w:hideMark/>
          </w:tcPr>
          <w:p w14:paraId="1D424C15"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Predominantly lacking glands (or with necrosis) and lesser component (##) of well-formed glands</w:t>
            </w:r>
          </w:p>
        </w:tc>
      </w:tr>
      <w:tr w:rsidR="00C74D95" w:rsidRPr="00275810" w14:paraId="571A31F8" w14:textId="77777777" w:rsidTr="00275810">
        <w:trPr>
          <w:trHeight w:val="20"/>
        </w:trPr>
        <w:tc>
          <w:tcPr>
            <w:tcW w:w="881" w:type="pct"/>
            <w:tcBorders>
              <w:top w:val="single" w:sz="4" w:space="0" w:color="auto"/>
              <w:left w:val="single" w:sz="4" w:space="0" w:color="auto"/>
              <w:bottom w:val="single" w:sz="4" w:space="0" w:color="auto"/>
              <w:right w:val="single" w:sz="4" w:space="0" w:color="auto"/>
            </w:tcBorders>
            <w:vAlign w:val="center"/>
            <w:hideMark/>
          </w:tcPr>
          <w:p w14:paraId="6B18289F"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5</w:t>
            </w:r>
          </w:p>
        </w:tc>
        <w:tc>
          <w:tcPr>
            <w:tcW w:w="813" w:type="pct"/>
            <w:tcBorders>
              <w:top w:val="single" w:sz="4" w:space="0" w:color="auto"/>
              <w:left w:val="single" w:sz="4" w:space="0" w:color="auto"/>
              <w:bottom w:val="single" w:sz="4" w:space="0" w:color="auto"/>
              <w:right w:val="single" w:sz="4" w:space="0" w:color="auto"/>
            </w:tcBorders>
            <w:hideMark/>
          </w:tcPr>
          <w:p w14:paraId="18DB5599"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316F8F8C"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sz w:val="18"/>
                <w:szCs w:val="18"/>
              </w:rPr>
              <w:t>9-10</w:t>
            </w:r>
          </w:p>
        </w:tc>
        <w:tc>
          <w:tcPr>
            <w:tcW w:w="2466" w:type="pct"/>
            <w:tcBorders>
              <w:top w:val="single" w:sz="4" w:space="0" w:color="auto"/>
              <w:left w:val="single" w:sz="4" w:space="0" w:color="auto"/>
              <w:bottom w:val="single" w:sz="4" w:space="0" w:color="auto"/>
              <w:right w:val="single" w:sz="4" w:space="0" w:color="auto"/>
            </w:tcBorders>
            <w:vAlign w:val="center"/>
            <w:hideMark/>
          </w:tcPr>
          <w:p w14:paraId="1FE2B3D8" w14:textId="77777777" w:rsidR="00C74D95" w:rsidRPr="00275810" w:rsidRDefault="008C0CF6" w:rsidP="00275810">
            <w:pPr>
              <w:spacing w:after="60" w:line="240" w:lineRule="auto"/>
              <w:rPr>
                <w:rFonts w:ascii="Arial" w:hAnsi="Arial" w:cs="Arial"/>
                <w:sz w:val="18"/>
                <w:szCs w:val="18"/>
              </w:rPr>
            </w:pPr>
            <w:r w:rsidRPr="00275810">
              <w:rPr>
                <w:rFonts w:ascii="Arial" w:hAnsi="Arial" w:cs="Arial"/>
                <w:bCs/>
                <w:sz w:val="18"/>
                <w:szCs w:val="18"/>
              </w:rPr>
              <w:t>Lack gland formation (or with necrosis) with or without poorly formed/fused/cribriform glands (#)</w:t>
            </w:r>
          </w:p>
        </w:tc>
      </w:tr>
    </w:tbl>
    <w:p w14:paraId="22FBE265" w14:textId="77777777" w:rsidR="00C74D95" w:rsidRPr="00275810" w:rsidRDefault="008C0CF6">
      <w:pPr>
        <w:rPr>
          <w:rFonts w:ascii="Arial" w:hAnsi="Arial" w:cs="Arial"/>
          <w:sz w:val="16"/>
          <w:szCs w:val="16"/>
          <w:lang w:val="en"/>
        </w:rPr>
      </w:pPr>
      <w:r w:rsidRPr="00275810">
        <w:rPr>
          <w:rStyle w:val="Emphasis"/>
          <w:rFonts w:ascii="Arial" w:hAnsi="Arial" w:cs="Arial"/>
          <w:iCs w:val="0"/>
          <w:sz w:val="16"/>
          <w:szCs w:val="16"/>
          <w:vertAlign w:val="superscript"/>
          <w:lang w:val="en"/>
        </w:rPr>
        <w:t>#</w:t>
      </w:r>
      <w:r w:rsidRPr="00275810">
        <w:rPr>
          <w:rStyle w:val="Emphasis"/>
          <w:rFonts w:ascii="Arial" w:hAnsi="Arial" w:cs="Arial"/>
          <w:iCs w:val="0"/>
          <w:sz w:val="16"/>
          <w:szCs w:val="16"/>
          <w:lang w:val="en"/>
        </w:rPr>
        <w:t>For cases with greater than 95% poorly formed/fused/cribriform glands on a core or at radical prostatectomy, the component of less than 5% well-formed glands is not factored into the grade; should therefore be graded as grade group 4.</w:t>
      </w:r>
    </w:p>
    <w:p w14:paraId="29C50784" w14:textId="54457D2E" w:rsidR="00C74D95" w:rsidRPr="00275810" w:rsidRDefault="008C0CF6" w:rsidP="00275810">
      <w:pPr>
        <w:rPr>
          <w:rFonts w:ascii="Arial" w:hAnsi="Arial" w:cs="Arial"/>
          <w:sz w:val="16"/>
          <w:szCs w:val="16"/>
          <w:lang w:val="en"/>
        </w:rPr>
      </w:pPr>
      <w:r w:rsidRPr="00275810">
        <w:rPr>
          <w:rStyle w:val="Emphasis"/>
          <w:rFonts w:ascii="Arial" w:hAnsi="Arial" w:cs="Arial"/>
          <w:iCs w:val="0"/>
          <w:sz w:val="16"/>
          <w:szCs w:val="16"/>
          <w:vertAlign w:val="superscript"/>
          <w:lang w:val="en"/>
        </w:rPr>
        <w:t>##</w:t>
      </w:r>
      <w:r w:rsidRPr="00275810">
        <w:rPr>
          <w:rStyle w:val="Emphasis"/>
          <w:rFonts w:ascii="Arial" w:hAnsi="Arial" w:cs="Arial"/>
          <w:iCs w:val="0"/>
          <w:sz w:val="16"/>
          <w:szCs w:val="16"/>
          <w:lang w:val="en"/>
        </w:rPr>
        <w:t>Poorly formed/fused/cribriform glands can be a more minor component.</w:t>
      </w:r>
    </w:p>
    <w:p w14:paraId="7C801D78"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5541917D"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Humphrey P, Amin MB, </w:t>
      </w:r>
      <w:proofErr w:type="spellStart"/>
      <w:r w:rsidRPr="00275810">
        <w:rPr>
          <w:rFonts w:ascii="Arial" w:hAnsi="Arial" w:cs="Arial"/>
          <w:sz w:val="20"/>
          <w:szCs w:val="20"/>
          <w:lang w:val="en"/>
        </w:rPr>
        <w:t>Berney</w:t>
      </w:r>
      <w:proofErr w:type="spellEnd"/>
      <w:r w:rsidRPr="00275810">
        <w:rPr>
          <w:rFonts w:ascii="Arial" w:hAnsi="Arial" w:cs="Arial"/>
          <w:sz w:val="20"/>
          <w:szCs w:val="20"/>
          <w:lang w:val="en"/>
        </w:rPr>
        <w:t xml:space="preserve"> D, </w:t>
      </w:r>
      <w:proofErr w:type="spellStart"/>
      <w:r w:rsidRPr="00275810">
        <w:rPr>
          <w:rFonts w:ascii="Arial" w:hAnsi="Arial" w:cs="Arial"/>
          <w:sz w:val="20"/>
          <w:szCs w:val="20"/>
          <w:lang w:val="en"/>
        </w:rPr>
        <w:t>Billis</w:t>
      </w:r>
      <w:proofErr w:type="spellEnd"/>
      <w:r w:rsidRPr="00275810">
        <w:rPr>
          <w:rFonts w:ascii="Arial" w:hAnsi="Arial" w:cs="Arial"/>
          <w:sz w:val="20"/>
          <w:szCs w:val="20"/>
          <w:lang w:val="en"/>
        </w:rPr>
        <w:t xml:space="preserve"> A, et al. Acinar adenocarcinoma. In: </w:t>
      </w:r>
      <w:proofErr w:type="spellStart"/>
      <w:r w:rsidRPr="00275810">
        <w:rPr>
          <w:rFonts w:ascii="Arial" w:hAnsi="Arial" w:cs="Arial"/>
          <w:sz w:val="20"/>
          <w:szCs w:val="20"/>
          <w:lang w:val="en"/>
        </w:rPr>
        <w:t>Moch</w:t>
      </w:r>
      <w:proofErr w:type="spellEnd"/>
      <w:r w:rsidRPr="00275810">
        <w:rPr>
          <w:rFonts w:ascii="Arial" w:hAnsi="Arial" w:cs="Arial"/>
          <w:sz w:val="20"/>
          <w:szCs w:val="20"/>
          <w:lang w:val="en"/>
        </w:rPr>
        <w:t xml:space="preserve"> H, Humphrey PA, </w:t>
      </w:r>
      <w:proofErr w:type="spellStart"/>
      <w:r w:rsidRPr="00275810">
        <w:rPr>
          <w:rFonts w:ascii="Arial" w:hAnsi="Arial" w:cs="Arial"/>
          <w:sz w:val="20"/>
          <w:szCs w:val="20"/>
          <w:lang w:val="en"/>
        </w:rPr>
        <w:t>Ulbright</w:t>
      </w:r>
      <w:proofErr w:type="spellEnd"/>
      <w:r w:rsidRPr="00275810">
        <w:rPr>
          <w:rFonts w:ascii="Arial" w:hAnsi="Arial" w:cs="Arial"/>
          <w:sz w:val="20"/>
          <w:szCs w:val="20"/>
          <w:lang w:val="en"/>
        </w:rPr>
        <w:t xml:space="preserve"> T, Reuter VE, eds. </w:t>
      </w:r>
      <w:r w:rsidRPr="00275810">
        <w:rPr>
          <w:rStyle w:val="Emphasis"/>
          <w:rFonts w:ascii="Arial" w:hAnsi="Arial" w:cs="Arial"/>
          <w:iCs w:val="0"/>
          <w:sz w:val="20"/>
          <w:szCs w:val="20"/>
          <w:lang w:val="en"/>
        </w:rPr>
        <w:t>Pathology and Genetics: Tumors of the Urinary System and Male Genital Organs</w:t>
      </w:r>
      <w:r w:rsidRPr="00275810">
        <w:rPr>
          <w:rFonts w:ascii="Arial" w:hAnsi="Arial" w:cs="Arial"/>
          <w:sz w:val="20"/>
          <w:szCs w:val="20"/>
          <w:lang w:val="en"/>
        </w:rPr>
        <w:t>. 4th edition. WHO Classification of Tumors. Zurich, Switzerland: WHO Press; 2015:3-28.</w:t>
      </w:r>
    </w:p>
    <w:p w14:paraId="2D9E71FC"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Gleason DR, Mellinger GT, the Veterans Administration Cooperative Urological Research Group. Prediction of prognosis for prostate adenocarcinoma by combined histological grading and clinical staging. </w:t>
      </w:r>
      <w:r w:rsidRPr="00275810">
        <w:rPr>
          <w:rStyle w:val="Emphasis"/>
          <w:rFonts w:ascii="Arial" w:hAnsi="Arial" w:cs="Arial"/>
          <w:iCs w:val="0"/>
          <w:sz w:val="20"/>
          <w:szCs w:val="20"/>
          <w:lang w:val="en"/>
        </w:rPr>
        <w:t>J Urol.</w:t>
      </w:r>
      <w:r w:rsidRPr="00275810">
        <w:rPr>
          <w:rFonts w:ascii="Arial" w:hAnsi="Arial" w:cs="Arial"/>
          <w:sz w:val="20"/>
          <w:szCs w:val="20"/>
          <w:lang w:val="en"/>
        </w:rPr>
        <w:t xml:space="preserve"> 1974;111:58-64. </w:t>
      </w:r>
    </w:p>
    <w:p w14:paraId="54938838"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Paner GP, Magi-</w:t>
      </w:r>
      <w:proofErr w:type="spellStart"/>
      <w:r w:rsidRPr="00275810">
        <w:rPr>
          <w:rFonts w:ascii="Arial" w:eastAsia="Times New Roman" w:hAnsi="Arial" w:cs="Arial"/>
          <w:sz w:val="20"/>
          <w:szCs w:val="20"/>
          <w:lang w:val="en"/>
        </w:rPr>
        <w:t>Galluzzi</w:t>
      </w:r>
      <w:proofErr w:type="spellEnd"/>
      <w:r w:rsidRPr="00275810">
        <w:rPr>
          <w:rFonts w:ascii="Arial" w:eastAsia="Times New Roman" w:hAnsi="Arial" w:cs="Arial"/>
          <w:sz w:val="20"/>
          <w:szCs w:val="20"/>
          <w:lang w:val="en"/>
        </w:rPr>
        <w:t xml:space="preserve"> C, Amin MB, Srigley JR: Adenocarcinoma of the prostate. In: Amin MB, </w:t>
      </w:r>
      <w:proofErr w:type="spellStart"/>
      <w:r w:rsidRPr="00275810">
        <w:rPr>
          <w:rFonts w:ascii="Arial" w:eastAsia="Times New Roman" w:hAnsi="Arial" w:cs="Arial"/>
          <w:sz w:val="20"/>
          <w:szCs w:val="20"/>
          <w:lang w:val="en"/>
        </w:rPr>
        <w:t>Grignon</w:t>
      </w:r>
      <w:proofErr w:type="spellEnd"/>
      <w:r w:rsidRPr="00275810">
        <w:rPr>
          <w:rFonts w:ascii="Arial" w:eastAsia="Times New Roman" w:hAnsi="Arial" w:cs="Arial"/>
          <w:sz w:val="20"/>
          <w:szCs w:val="20"/>
          <w:lang w:val="en"/>
        </w:rPr>
        <w:t xml:space="preserve"> DJ, Srigley JR, </w:t>
      </w:r>
      <w:proofErr w:type="spellStart"/>
      <w:r w:rsidRPr="00275810">
        <w:rPr>
          <w:rFonts w:ascii="Arial" w:eastAsia="Times New Roman" w:hAnsi="Arial" w:cs="Arial"/>
          <w:sz w:val="20"/>
          <w:szCs w:val="20"/>
          <w:lang w:val="en"/>
        </w:rPr>
        <w:t>Eble</w:t>
      </w:r>
      <w:proofErr w:type="spellEnd"/>
      <w:r w:rsidRPr="00275810">
        <w:rPr>
          <w:rFonts w:ascii="Arial" w:eastAsia="Times New Roman" w:hAnsi="Arial" w:cs="Arial"/>
          <w:sz w:val="20"/>
          <w:szCs w:val="20"/>
          <w:lang w:val="en"/>
        </w:rPr>
        <w:t xml:space="preserve"> JN, eds. Urological Pathology. Philadelphia, PA: Lippincott William &amp; Wilkins; 2014:559-673.</w:t>
      </w:r>
    </w:p>
    <w:p w14:paraId="42943CA7"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lastRenderedPageBreak/>
        <w:t xml:space="preserve">Epstein JI, </w:t>
      </w:r>
      <w:proofErr w:type="spellStart"/>
      <w:r w:rsidRPr="00275810">
        <w:rPr>
          <w:rFonts w:ascii="Arial" w:hAnsi="Arial" w:cs="Arial"/>
          <w:sz w:val="20"/>
          <w:szCs w:val="20"/>
          <w:lang w:val="en"/>
        </w:rPr>
        <w:t>Allsbrook</w:t>
      </w:r>
      <w:proofErr w:type="spellEnd"/>
      <w:r w:rsidRPr="00275810">
        <w:rPr>
          <w:rFonts w:ascii="Arial" w:hAnsi="Arial" w:cs="Arial"/>
          <w:sz w:val="20"/>
          <w:szCs w:val="20"/>
          <w:lang w:val="en"/>
        </w:rPr>
        <w:t xml:space="preserve"> Jr WC, Amin MB, </w:t>
      </w:r>
      <w:proofErr w:type="spellStart"/>
      <w:r w:rsidRPr="00275810">
        <w:rPr>
          <w:rFonts w:ascii="Arial" w:hAnsi="Arial" w:cs="Arial"/>
          <w:sz w:val="20"/>
          <w:szCs w:val="20"/>
          <w:lang w:val="en"/>
        </w:rPr>
        <w:t>Egevad</w:t>
      </w:r>
      <w:proofErr w:type="spellEnd"/>
      <w:r w:rsidRPr="00275810">
        <w:rPr>
          <w:rFonts w:ascii="Arial" w:hAnsi="Arial" w:cs="Arial"/>
          <w:sz w:val="20"/>
          <w:szCs w:val="20"/>
          <w:lang w:val="en"/>
        </w:rPr>
        <w:t xml:space="preserve"> L, ISUP Grading Committee. The 2005 International Society of Urological Pathology (ISUP) Consensus Conference on Gleason Grading of Prostatic Carcinoma. </w:t>
      </w:r>
      <w:r w:rsidRPr="00275810">
        <w:rPr>
          <w:rStyle w:val="Emphasis"/>
          <w:rFonts w:ascii="Arial" w:hAnsi="Arial" w:cs="Arial"/>
          <w:iCs w:val="0"/>
          <w:sz w:val="20"/>
          <w:szCs w:val="20"/>
          <w:lang w:val="en"/>
        </w:rPr>
        <w:t xml:space="preserve">Am J Surg </w:t>
      </w:r>
      <w:proofErr w:type="spellStart"/>
      <w:r w:rsidRPr="00275810">
        <w:rPr>
          <w:rStyle w:val="Emphasis"/>
          <w:rFonts w:ascii="Arial" w:hAnsi="Arial" w:cs="Arial"/>
          <w:iCs w:val="0"/>
          <w:sz w:val="20"/>
          <w:szCs w:val="20"/>
          <w:lang w:val="en"/>
        </w:rPr>
        <w:t>Pathol</w:t>
      </w:r>
      <w:proofErr w:type="spellEnd"/>
      <w:r w:rsidRPr="00275810">
        <w:rPr>
          <w:rStyle w:val="Emphasis"/>
          <w:rFonts w:ascii="Arial" w:hAnsi="Arial" w:cs="Arial"/>
          <w:iCs w:val="0"/>
          <w:sz w:val="20"/>
          <w:szCs w:val="20"/>
          <w:lang w:val="en"/>
        </w:rPr>
        <w:t>.</w:t>
      </w:r>
      <w:r w:rsidRPr="00275810">
        <w:rPr>
          <w:rFonts w:ascii="Arial" w:hAnsi="Arial" w:cs="Arial"/>
          <w:sz w:val="20"/>
          <w:szCs w:val="20"/>
          <w:lang w:val="en"/>
        </w:rPr>
        <w:t xml:space="preserve"> 2005;29:1228-1242.</w:t>
      </w:r>
    </w:p>
    <w:p w14:paraId="6EC483E8"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Epstein JI, </w:t>
      </w:r>
      <w:proofErr w:type="spellStart"/>
      <w:r w:rsidRPr="00275810">
        <w:rPr>
          <w:rFonts w:ascii="Arial" w:hAnsi="Arial" w:cs="Arial"/>
          <w:sz w:val="20"/>
          <w:szCs w:val="20"/>
          <w:lang w:val="en"/>
        </w:rPr>
        <w:t>Egevad</w:t>
      </w:r>
      <w:proofErr w:type="spellEnd"/>
      <w:r w:rsidRPr="00275810">
        <w:rPr>
          <w:rFonts w:ascii="Arial"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275810">
        <w:rPr>
          <w:rStyle w:val="Emphasis"/>
          <w:rFonts w:ascii="Arial" w:hAnsi="Arial" w:cs="Arial"/>
          <w:iCs w:val="0"/>
          <w:sz w:val="20"/>
          <w:szCs w:val="20"/>
          <w:lang w:val="en"/>
        </w:rPr>
        <w:t xml:space="preserve">Am J Surg </w:t>
      </w:r>
      <w:proofErr w:type="spellStart"/>
      <w:r w:rsidRPr="00275810">
        <w:rPr>
          <w:rStyle w:val="Emphasis"/>
          <w:rFonts w:ascii="Arial" w:hAnsi="Arial" w:cs="Arial"/>
          <w:iCs w:val="0"/>
          <w:sz w:val="20"/>
          <w:szCs w:val="20"/>
          <w:lang w:val="en"/>
        </w:rPr>
        <w:t>Pathol</w:t>
      </w:r>
      <w:proofErr w:type="spellEnd"/>
      <w:r w:rsidRPr="00275810">
        <w:rPr>
          <w:rStyle w:val="Emphasis"/>
          <w:rFonts w:ascii="Arial" w:hAnsi="Arial" w:cs="Arial"/>
          <w:iCs w:val="0"/>
          <w:sz w:val="20"/>
          <w:szCs w:val="20"/>
          <w:lang w:val="en"/>
        </w:rPr>
        <w:t>.</w:t>
      </w:r>
      <w:r w:rsidRPr="00275810">
        <w:rPr>
          <w:rFonts w:ascii="Arial" w:hAnsi="Arial" w:cs="Arial"/>
          <w:sz w:val="20"/>
          <w:szCs w:val="20"/>
          <w:lang w:val="en"/>
        </w:rPr>
        <w:t xml:space="preserve"> 2016; 40: 244-252.</w:t>
      </w:r>
    </w:p>
    <w:p w14:paraId="3F67BA94"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730A9D62"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van </w:t>
      </w:r>
      <w:proofErr w:type="spellStart"/>
      <w:r w:rsidRPr="00275810">
        <w:rPr>
          <w:rFonts w:ascii="Arial" w:eastAsia="Times New Roman" w:hAnsi="Arial" w:cs="Arial"/>
          <w:sz w:val="20"/>
          <w:szCs w:val="20"/>
          <w:lang w:val="en"/>
        </w:rPr>
        <w:t>Leenders</w:t>
      </w:r>
      <w:proofErr w:type="spellEnd"/>
      <w:r w:rsidRPr="00275810">
        <w:rPr>
          <w:rFonts w:ascii="Arial" w:eastAsia="Times New Roman" w:hAnsi="Arial" w:cs="Arial"/>
          <w:sz w:val="20"/>
          <w:szCs w:val="20"/>
          <w:lang w:val="en"/>
        </w:rPr>
        <w:t xml:space="preserve"> GJLH, van der Kwast TH, </w:t>
      </w:r>
      <w:proofErr w:type="spellStart"/>
      <w:r w:rsidRPr="00275810">
        <w:rPr>
          <w:rFonts w:ascii="Arial" w:eastAsia="Times New Roman" w:hAnsi="Arial" w:cs="Arial"/>
          <w:sz w:val="20"/>
          <w:szCs w:val="20"/>
          <w:lang w:val="en"/>
        </w:rPr>
        <w:t>Grignon</w:t>
      </w:r>
      <w:proofErr w:type="spellEnd"/>
      <w:r w:rsidRPr="00275810">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2020;44:e87-e99.</w:t>
      </w:r>
    </w:p>
    <w:p w14:paraId="1F251A21"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2017;41:e1-e7.</w:t>
      </w:r>
    </w:p>
    <w:p w14:paraId="6ADA8F8F"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Arch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Lab Med. 2019;140:55-564.</w:t>
      </w:r>
    </w:p>
    <w:p w14:paraId="5FD61962"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Sauter G, </w:t>
      </w:r>
      <w:proofErr w:type="spellStart"/>
      <w:r w:rsidRPr="00275810">
        <w:rPr>
          <w:rFonts w:ascii="Arial" w:hAnsi="Arial" w:cs="Arial"/>
          <w:sz w:val="20"/>
          <w:szCs w:val="20"/>
          <w:lang w:val="en"/>
        </w:rPr>
        <w:t>Steurer</w:t>
      </w:r>
      <w:proofErr w:type="spellEnd"/>
      <w:r w:rsidRPr="00275810">
        <w:rPr>
          <w:rFonts w:ascii="Arial" w:hAnsi="Arial" w:cs="Arial"/>
          <w:sz w:val="20"/>
          <w:szCs w:val="20"/>
          <w:lang w:val="en"/>
        </w:rPr>
        <w:t xml:space="preserve"> S, </w:t>
      </w:r>
      <w:proofErr w:type="spellStart"/>
      <w:r w:rsidRPr="00275810">
        <w:rPr>
          <w:rFonts w:ascii="Arial" w:hAnsi="Arial" w:cs="Arial"/>
          <w:sz w:val="20"/>
          <w:szCs w:val="20"/>
          <w:lang w:val="en"/>
        </w:rPr>
        <w:t>Clauditz</w:t>
      </w:r>
      <w:proofErr w:type="spellEnd"/>
      <w:r w:rsidRPr="00275810">
        <w:rPr>
          <w:rFonts w:ascii="Arial" w:hAnsi="Arial" w:cs="Arial"/>
          <w:sz w:val="20"/>
          <w:szCs w:val="20"/>
          <w:lang w:val="en"/>
        </w:rPr>
        <w:t xml:space="preserve"> TS, et al. Clinical Utility of Quantitative Gleason Grading in Prostate Biopsies and Prostatectomy Specimens. </w:t>
      </w:r>
      <w:r w:rsidRPr="00275810">
        <w:rPr>
          <w:rStyle w:val="Emphasis"/>
          <w:rFonts w:ascii="Arial" w:hAnsi="Arial" w:cs="Arial"/>
          <w:iCs w:val="0"/>
          <w:sz w:val="20"/>
          <w:szCs w:val="20"/>
          <w:lang w:val="en"/>
        </w:rPr>
        <w:t>Eur Urol.</w:t>
      </w:r>
      <w:r w:rsidRPr="00275810">
        <w:rPr>
          <w:rFonts w:ascii="Arial" w:hAnsi="Arial" w:cs="Arial"/>
          <w:sz w:val="20"/>
          <w:szCs w:val="20"/>
          <w:lang w:val="en"/>
        </w:rPr>
        <w:t xml:space="preserve"> 2016;69:592-598.</w:t>
      </w:r>
    </w:p>
    <w:p w14:paraId="2B2903AF"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J </w:t>
      </w:r>
      <w:proofErr w:type="spellStart"/>
      <w:r w:rsidRPr="00275810">
        <w:rPr>
          <w:rFonts w:ascii="Arial" w:eastAsia="Times New Roman" w:hAnsi="Arial" w:cs="Arial"/>
          <w:sz w:val="20"/>
          <w:szCs w:val="20"/>
          <w:lang w:val="en"/>
        </w:rPr>
        <w:t>Urol</w:t>
      </w:r>
      <w:proofErr w:type="spellEnd"/>
      <w:r w:rsidRPr="00275810">
        <w:rPr>
          <w:rFonts w:ascii="Arial" w:eastAsia="Times New Roman" w:hAnsi="Arial" w:cs="Arial"/>
          <w:sz w:val="20"/>
          <w:szCs w:val="20"/>
          <w:lang w:val="en"/>
        </w:rPr>
        <w:t xml:space="preserve"> 2016;196:405-411.</w:t>
      </w:r>
    </w:p>
    <w:p w14:paraId="6AB3F88F"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Choy B, Pearce SM, Anderson BB, et al. Prognostic significance of percentages and architectural types of contemporary Gleason pattern 4 prostate cancer in radical prostatectomy. </w:t>
      </w:r>
      <w:r w:rsidRPr="00275810">
        <w:rPr>
          <w:rStyle w:val="Emphasis"/>
          <w:rFonts w:ascii="Arial" w:hAnsi="Arial" w:cs="Arial"/>
          <w:iCs w:val="0"/>
          <w:sz w:val="20"/>
          <w:szCs w:val="20"/>
          <w:lang w:val="en"/>
        </w:rPr>
        <w:t xml:space="preserve">Am J Surg </w:t>
      </w:r>
      <w:proofErr w:type="spellStart"/>
      <w:r w:rsidRPr="00275810">
        <w:rPr>
          <w:rStyle w:val="Emphasis"/>
          <w:rFonts w:ascii="Arial" w:hAnsi="Arial" w:cs="Arial"/>
          <w:iCs w:val="0"/>
          <w:sz w:val="20"/>
          <w:szCs w:val="20"/>
          <w:lang w:val="en"/>
        </w:rPr>
        <w:t>Pathol</w:t>
      </w:r>
      <w:proofErr w:type="spellEnd"/>
      <w:r w:rsidRPr="00275810">
        <w:rPr>
          <w:rFonts w:ascii="Arial" w:hAnsi="Arial" w:cs="Arial"/>
          <w:sz w:val="20"/>
          <w:szCs w:val="20"/>
          <w:lang w:val="en"/>
        </w:rPr>
        <w:t>. 2016;40:1400-6.</w:t>
      </w:r>
    </w:p>
    <w:p w14:paraId="338B60D5"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Iczkowski KA, </w:t>
      </w:r>
      <w:proofErr w:type="spellStart"/>
      <w:r w:rsidRPr="00275810">
        <w:rPr>
          <w:rFonts w:ascii="Arial" w:eastAsia="Times New Roman" w:hAnsi="Arial" w:cs="Arial"/>
          <w:sz w:val="20"/>
          <w:szCs w:val="20"/>
          <w:lang w:val="en"/>
        </w:rPr>
        <w:t>Torkko</w:t>
      </w:r>
      <w:proofErr w:type="spellEnd"/>
      <w:r w:rsidRPr="00275810">
        <w:rPr>
          <w:rFonts w:ascii="Arial" w:eastAsia="Times New Roman" w:hAnsi="Arial" w:cs="Arial"/>
          <w:sz w:val="20"/>
          <w:szCs w:val="20"/>
          <w:lang w:val="en"/>
        </w:rPr>
        <w:t xml:space="preserve"> KC, </w:t>
      </w:r>
      <w:proofErr w:type="spellStart"/>
      <w:r w:rsidRPr="00275810">
        <w:rPr>
          <w:rFonts w:ascii="Arial" w:eastAsia="Times New Roman" w:hAnsi="Arial" w:cs="Arial"/>
          <w:sz w:val="20"/>
          <w:szCs w:val="20"/>
          <w:lang w:val="en"/>
        </w:rPr>
        <w:t>Kotnis</w:t>
      </w:r>
      <w:proofErr w:type="spellEnd"/>
      <w:r w:rsidRPr="00275810">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2011;136:98-107.</w:t>
      </w:r>
    </w:p>
    <w:p w14:paraId="6B54544E"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Kweldam</w:t>
      </w:r>
      <w:proofErr w:type="spellEnd"/>
      <w:r w:rsidRPr="00275810">
        <w:rPr>
          <w:rFonts w:ascii="Arial" w:eastAsia="Times New Roman" w:hAnsi="Arial" w:cs="Arial"/>
          <w:sz w:val="20"/>
          <w:szCs w:val="20"/>
          <w:lang w:val="en"/>
        </w:rPr>
        <w:t xml:space="preserve"> CF, </w:t>
      </w:r>
      <w:proofErr w:type="spellStart"/>
      <w:r w:rsidRPr="00275810">
        <w:rPr>
          <w:rFonts w:ascii="Arial" w:eastAsia="Times New Roman" w:hAnsi="Arial" w:cs="Arial"/>
          <w:sz w:val="20"/>
          <w:szCs w:val="20"/>
          <w:lang w:val="en"/>
        </w:rPr>
        <w:t>Wildhagen</w:t>
      </w:r>
      <w:proofErr w:type="spellEnd"/>
      <w:r w:rsidRPr="00275810">
        <w:rPr>
          <w:rFonts w:ascii="Arial" w:eastAsia="Times New Roman" w:hAnsi="Arial" w:cs="Arial"/>
          <w:sz w:val="20"/>
          <w:szCs w:val="20"/>
          <w:lang w:val="en"/>
        </w:rPr>
        <w:t xml:space="preserve"> MF, </w:t>
      </w:r>
      <w:proofErr w:type="spellStart"/>
      <w:r w:rsidRPr="00275810">
        <w:rPr>
          <w:rFonts w:ascii="Arial" w:eastAsia="Times New Roman" w:hAnsi="Arial" w:cs="Arial"/>
          <w:sz w:val="20"/>
          <w:szCs w:val="20"/>
          <w:lang w:val="en"/>
        </w:rPr>
        <w:t>Steyerberg</w:t>
      </w:r>
      <w:proofErr w:type="spellEnd"/>
      <w:r w:rsidRPr="00275810">
        <w:rPr>
          <w:rFonts w:ascii="Arial" w:eastAsia="Times New Roman" w:hAnsi="Arial" w:cs="Arial"/>
          <w:sz w:val="20"/>
          <w:szCs w:val="20"/>
          <w:lang w:val="en"/>
        </w:rPr>
        <w:t xml:space="preserve"> EW, et al. Cribriform growth is highly predictive for postoperative metastasis and disease-specific death in Gleason score 7 prostate cancer. Mod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2015;28:457-464.</w:t>
      </w:r>
    </w:p>
    <w:p w14:paraId="3E9B4FD8" w14:textId="77777777" w:rsid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eastAsia="Times New Roman" w:hAnsi="Arial" w:cs="Arial"/>
          <w:sz w:val="20"/>
          <w:szCs w:val="20"/>
          <w:lang w:val="en"/>
        </w:rPr>
        <w:t xml:space="preserve">van der Kwast TH, van </w:t>
      </w:r>
      <w:proofErr w:type="spellStart"/>
      <w:r w:rsidRPr="00275810">
        <w:rPr>
          <w:rFonts w:ascii="Arial" w:eastAsia="Times New Roman" w:hAnsi="Arial" w:cs="Arial"/>
          <w:sz w:val="20"/>
          <w:szCs w:val="20"/>
          <w:lang w:val="en"/>
        </w:rPr>
        <w:t>Leenders</w:t>
      </w:r>
      <w:proofErr w:type="spellEnd"/>
      <w:r w:rsidRPr="00275810">
        <w:rPr>
          <w:rFonts w:ascii="Arial" w:eastAsia="Times New Roman" w:hAnsi="Arial" w:cs="Arial"/>
          <w:sz w:val="20"/>
          <w:szCs w:val="20"/>
          <w:lang w:val="en"/>
        </w:rPr>
        <w:t xml:space="preserve"> GJ, </w:t>
      </w:r>
      <w:proofErr w:type="spellStart"/>
      <w:r w:rsidRPr="00275810">
        <w:rPr>
          <w:rFonts w:ascii="Arial" w:eastAsia="Times New Roman" w:hAnsi="Arial" w:cs="Arial"/>
          <w:sz w:val="20"/>
          <w:szCs w:val="20"/>
          <w:lang w:val="en"/>
        </w:rPr>
        <w:t>Berney</w:t>
      </w:r>
      <w:proofErr w:type="spellEnd"/>
      <w:r w:rsidRPr="00275810">
        <w:rPr>
          <w:rFonts w:ascii="Arial" w:eastAsia="Times New Roman" w:hAnsi="Arial" w:cs="Arial"/>
          <w:sz w:val="20"/>
          <w:szCs w:val="20"/>
          <w:lang w:val="en"/>
        </w:rPr>
        <w:t xml:space="preserve"> DM, et al. ISUP consensus definition of cribriform prostate cancer. Am J Surg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2021. Online ahead of print.</w:t>
      </w:r>
    </w:p>
    <w:p w14:paraId="559B0D1A"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proofErr w:type="spellStart"/>
      <w:r w:rsidRPr="00275810">
        <w:rPr>
          <w:rFonts w:ascii="Arial" w:hAnsi="Arial" w:cs="Arial"/>
          <w:sz w:val="20"/>
          <w:szCs w:val="20"/>
          <w:lang w:val="en"/>
        </w:rPr>
        <w:t>Pierorazio</w:t>
      </w:r>
      <w:proofErr w:type="spellEnd"/>
      <w:r w:rsidRPr="00275810">
        <w:rPr>
          <w:rFonts w:ascii="Arial" w:hAnsi="Arial" w:cs="Arial"/>
          <w:sz w:val="20"/>
          <w:szCs w:val="20"/>
          <w:lang w:val="en"/>
        </w:rPr>
        <w:t xml:space="preserve"> PM, Walsh PC, Partin AW, Epstein JI. Prognostic Gleason grade grouping: data based on the modified Gleason scoring system. </w:t>
      </w:r>
      <w:r w:rsidRPr="00275810">
        <w:rPr>
          <w:rStyle w:val="Emphasis"/>
          <w:rFonts w:ascii="Arial" w:hAnsi="Arial" w:cs="Arial"/>
          <w:iCs w:val="0"/>
          <w:sz w:val="20"/>
          <w:szCs w:val="20"/>
          <w:lang w:val="en"/>
        </w:rPr>
        <w:t>BJU Int.</w:t>
      </w:r>
      <w:r w:rsidRPr="00275810">
        <w:rPr>
          <w:rFonts w:ascii="Arial" w:hAnsi="Arial" w:cs="Arial"/>
          <w:sz w:val="20"/>
          <w:szCs w:val="20"/>
          <w:lang w:val="en"/>
        </w:rPr>
        <w:t xml:space="preserve"> 2013;111:753-760.</w:t>
      </w:r>
    </w:p>
    <w:p w14:paraId="3A6EA8D5" w14:textId="77777777" w:rsidR="00275810"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r w:rsidRPr="00275810">
        <w:rPr>
          <w:rFonts w:ascii="Arial" w:hAnsi="Arial" w:cs="Arial"/>
          <w:sz w:val="20"/>
          <w:szCs w:val="20"/>
          <w:lang w:val="en"/>
        </w:rPr>
        <w:t xml:space="preserve">Epstein JI, </w:t>
      </w:r>
      <w:proofErr w:type="spellStart"/>
      <w:r w:rsidRPr="00275810">
        <w:rPr>
          <w:rFonts w:ascii="Arial" w:hAnsi="Arial" w:cs="Arial"/>
          <w:sz w:val="20"/>
          <w:szCs w:val="20"/>
          <w:lang w:val="en"/>
        </w:rPr>
        <w:t>Zelefsky</w:t>
      </w:r>
      <w:proofErr w:type="spellEnd"/>
      <w:r w:rsidRPr="00275810">
        <w:rPr>
          <w:rFonts w:ascii="Arial" w:hAnsi="Arial" w:cs="Arial"/>
          <w:sz w:val="20"/>
          <w:szCs w:val="20"/>
          <w:lang w:val="en"/>
        </w:rPr>
        <w:t xml:space="preserve"> MJ, Sjoberg DD, et al. A contemporary prostate cancer grading system: a validated alternative to the Gleason score. </w:t>
      </w:r>
      <w:r w:rsidRPr="00275810">
        <w:rPr>
          <w:rStyle w:val="Emphasis"/>
          <w:rFonts w:ascii="Arial" w:hAnsi="Arial" w:cs="Arial"/>
          <w:iCs w:val="0"/>
          <w:sz w:val="20"/>
          <w:szCs w:val="20"/>
          <w:lang w:val="en"/>
        </w:rPr>
        <w:t>Eur Urol.</w:t>
      </w:r>
      <w:r w:rsidRPr="00275810">
        <w:rPr>
          <w:rFonts w:ascii="Arial" w:hAnsi="Arial" w:cs="Arial"/>
          <w:sz w:val="20"/>
          <w:szCs w:val="20"/>
          <w:lang w:val="en"/>
        </w:rPr>
        <w:t xml:space="preserve"> 2016;69:428-435.</w:t>
      </w:r>
    </w:p>
    <w:p w14:paraId="389F56A5" w14:textId="290F732C" w:rsidR="00C74D95" w:rsidRPr="00275810" w:rsidRDefault="008C0CF6" w:rsidP="00275810">
      <w:pPr>
        <w:pStyle w:val="ListParagraph"/>
        <w:numPr>
          <w:ilvl w:val="0"/>
          <w:numId w:val="9"/>
        </w:numPr>
        <w:spacing w:after="0" w:line="240" w:lineRule="auto"/>
        <w:rPr>
          <w:rFonts w:ascii="Arial" w:eastAsia="Times New Roman" w:hAnsi="Arial" w:cs="Arial"/>
          <w:sz w:val="20"/>
          <w:szCs w:val="20"/>
          <w:lang w:val="en"/>
        </w:rPr>
      </w:pPr>
      <w:proofErr w:type="spellStart"/>
      <w:r w:rsidRPr="00275810">
        <w:rPr>
          <w:rFonts w:ascii="Arial" w:hAnsi="Arial" w:cs="Arial"/>
          <w:sz w:val="20"/>
          <w:szCs w:val="20"/>
          <w:lang w:val="en"/>
        </w:rPr>
        <w:t>Berney</w:t>
      </w:r>
      <w:proofErr w:type="spellEnd"/>
      <w:r w:rsidRPr="00275810">
        <w:rPr>
          <w:rFonts w:ascii="Arial" w:hAnsi="Arial" w:cs="Arial"/>
          <w:sz w:val="20"/>
          <w:szCs w:val="20"/>
          <w:lang w:val="en"/>
        </w:rPr>
        <w:t xml:space="preserve"> DM, Beltran L, Fisher G, et al. Validation of a contemporary prostate cancer grading system using prostate cancer death as outcome. </w:t>
      </w:r>
      <w:r w:rsidRPr="00275810">
        <w:rPr>
          <w:rStyle w:val="Emphasis"/>
          <w:rFonts w:ascii="Arial" w:hAnsi="Arial" w:cs="Arial"/>
          <w:iCs w:val="0"/>
          <w:sz w:val="20"/>
          <w:szCs w:val="20"/>
          <w:lang w:val="en"/>
        </w:rPr>
        <w:t>Br J Cancer</w:t>
      </w:r>
      <w:r w:rsidRPr="00275810">
        <w:rPr>
          <w:rFonts w:ascii="Arial" w:hAnsi="Arial" w:cs="Arial"/>
          <w:sz w:val="20"/>
          <w:szCs w:val="20"/>
          <w:lang w:val="en"/>
        </w:rPr>
        <w:t xml:space="preserve">. 2016;114(10):1078-1083. </w:t>
      </w:r>
    </w:p>
    <w:p w14:paraId="50C21947" w14:textId="77777777" w:rsidR="00275810" w:rsidRPr="00275810" w:rsidRDefault="00275810" w:rsidP="00275810">
      <w:pPr>
        <w:pStyle w:val="ListParagraph"/>
        <w:spacing w:after="0" w:line="240" w:lineRule="auto"/>
        <w:rPr>
          <w:rFonts w:ascii="Arial" w:eastAsia="Times New Roman" w:hAnsi="Arial" w:cs="Arial"/>
          <w:sz w:val="20"/>
          <w:szCs w:val="20"/>
          <w:lang w:val="en"/>
        </w:rPr>
      </w:pPr>
    </w:p>
    <w:p w14:paraId="53CBD933"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D. Intraductal Carcinoma (IDC)</w:t>
      </w:r>
    </w:p>
    <w:p w14:paraId="4E584A86" w14:textId="6A45A5D5" w:rsidR="00C74D95" w:rsidRDefault="008C0CF6" w:rsidP="000B3016">
      <w:pPr>
        <w:spacing w:after="0"/>
        <w:jc w:val="both"/>
        <w:rPr>
          <w:rFonts w:ascii="Arial" w:eastAsia="Times New Roman" w:hAnsi="Arial" w:cs="Arial"/>
          <w:sz w:val="20"/>
          <w:szCs w:val="20"/>
          <w:lang w:val="en"/>
        </w:rPr>
      </w:pPr>
      <w:r w:rsidRPr="00275810">
        <w:rPr>
          <w:rFonts w:ascii="Arial" w:eastAsia="Times New Roman" w:hAnsi="Arial" w:cs="Arial"/>
          <w:sz w:val="20"/>
          <w:szCs w:val="20"/>
          <w:lang w:val="en"/>
        </w:rPr>
        <w:t>Intraductal carcinoma (IDC) has independent prognostic significance and its reporting is recommended.</w:t>
      </w:r>
      <w:hyperlink w:anchor="8432" w:tooltip="Guo&#10;CC and Epstein JI. Intraductal carcinoma of the prostate on needle biopsy:&#10;Histologic features and clinical significance. Mod Pathol. 2006;19(12):1528-1535." w:history="1">
        <w:r w:rsidRPr="00275810">
          <w:rPr>
            <w:rStyle w:val="Hyperlink"/>
            <w:rFonts w:ascii="Arial" w:eastAsia="Times New Roman" w:hAnsi="Arial" w:cs="Arial"/>
            <w:sz w:val="20"/>
            <w:szCs w:val="20"/>
            <w:vertAlign w:val="superscript"/>
            <w:lang w:val="en"/>
          </w:rPr>
          <w:t>1,</w:t>
        </w:r>
      </w:hyperlink>
      <w:hyperlink w:anchor="8433" w:tooltip="Cohen&#10;RJ, Wheeler TM, Bonkhoff H and Rubin MA. A proposal on the identification,&#10;histologic reporting, and implications of intraductal prostatic carcinoma. Arch Pathol Lab Med.&#10;2007;131(7):1103-1109." w:history="1">
        <w:r w:rsidRPr="00275810">
          <w:rPr>
            <w:rStyle w:val="Hyperlink"/>
            <w:rFonts w:ascii="Arial" w:eastAsia="Times New Roman" w:hAnsi="Arial" w:cs="Arial"/>
            <w:sz w:val="20"/>
            <w:szCs w:val="20"/>
            <w:vertAlign w:val="superscript"/>
            <w:lang w:val="en"/>
          </w:rPr>
          <w:t>2,</w:t>
        </w:r>
      </w:hyperlink>
      <w:hyperlink w:anchor="8434" w:tooltip="Zhou M.&#10;Intraductal carcinoma of the prostate: the whole story. Pathology. 2013;45(6):533-539." w:history="1">
        <w:r w:rsidRPr="00275810">
          <w:rPr>
            <w:rStyle w:val="Hyperlink"/>
            <w:rFonts w:ascii="Arial" w:eastAsia="Times New Roman" w:hAnsi="Arial" w:cs="Arial"/>
            <w:sz w:val="20"/>
            <w:szCs w:val="20"/>
            <w:vertAlign w:val="superscript"/>
            <w:lang w:val="en"/>
          </w:rPr>
          <w:t>3,</w:t>
        </w:r>
      </w:hyperlink>
      <w:hyperlink w:anchor="8438" w:tooltip="Montironi R, Zhou M, Magi-Galluzzi C, Epstein JI. Features and prognostic significance of intraductal carcinoma of the prostate. Eur Urol Oncol. 2018;1:21-28." w:history="1">
        <w:r w:rsidRPr="00275810">
          <w:rPr>
            <w:rStyle w:val="Hyperlink"/>
            <w:rFonts w:ascii="Arial" w:eastAsia="Times New Roman" w:hAnsi="Arial" w:cs="Arial"/>
            <w:sz w:val="20"/>
            <w:szCs w:val="20"/>
            <w:vertAlign w:val="superscript"/>
            <w:lang w:val="en"/>
          </w:rPr>
          <w:t>4,</w:t>
        </w:r>
      </w:hyperlink>
      <w:hyperlink w:anchor="8439" w:tooltip="Varma M. Intraductal carcinoma of the prostate: A guide for practicing pathologist. Adv Anat Pathol. 2021. Online ahead of print." w:history="1">
        <w:r w:rsidRPr="00275810">
          <w:rPr>
            <w:rStyle w:val="Hyperlink"/>
            <w:rFonts w:ascii="Arial" w:eastAsia="Times New Roman" w:hAnsi="Arial" w:cs="Arial"/>
            <w:sz w:val="20"/>
            <w:szCs w:val="20"/>
            <w:vertAlign w:val="superscript"/>
            <w:lang w:val="en"/>
          </w:rPr>
          <w:t>5</w:t>
        </w:r>
      </w:hyperlink>
      <w:r w:rsidRPr="00275810">
        <w:rPr>
          <w:rFonts w:ascii="Arial" w:eastAsia="Times New Roman" w:hAnsi="Arial" w:cs="Arial"/>
          <w:sz w:val="20"/>
          <w:szCs w:val="20"/>
          <w:lang w:val="en"/>
        </w:rPr>
        <w:t> Intraductal carcinoma is uncommon in TURP specimens and when present it is usually found within an invasive tumor. It is important to distinguish IDC from high-grade prostatic intraepithelial neoplasia (PIN) and atypical intraductal proliferation (AIP). </w:t>
      </w:r>
      <w:r w:rsidR="000B3016">
        <w:rPr>
          <w:rFonts w:ascii="Arial" w:eastAsia="Times New Roman" w:hAnsi="Arial" w:cs="Arial"/>
          <w:sz w:val="20"/>
          <w:szCs w:val="20"/>
          <w:lang w:val="en"/>
        </w:rPr>
        <w:tab/>
      </w:r>
      <w:r w:rsidRPr="00275810">
        <w:rPr>
          <w:rFonts w:ascii="Arial" w:eastAsia="Times New Roman" w:hAnsi="Arial" w:cs="Arial"/>
          <w:sz w:val="20"/>
          <w:szCs w:val="20"/>
          <w:lang w:val="en"/>
        </w:rPr>
        <w:br/>
      </w:r>
      <w:r w:rsidRPr="00275810">
        <w:rPr>
          <w:rFonts w:ascii="Arial" w:eastAsia="Times New Roman" w:hAnsi="Arial" w:cs="Arial"/>
          <w:sz w:val="20"/>
          <w:szCs w:val="20"/>
          <w:lang w:val="en"/>
        </w:rPr>
        <w:br/>
        <w:t>Both ISUP and GUPS recommend that Gleason scores or grade groups should not be assigned to pure IDC.</w:t>
      </w:r>
      <w:hyperlink w:anchor="8437" w:tooltip="Epstein&#10;JI, Egevad L, Amin MB, Delahunt B, Srigley JR, Humphrey PA; and the Grading&#10;Committee The 2014 International Society of Urological Pathology (ISUP)&#10;Consensus Conference on Gleason Grading of Prostatic Carcinoma: definition of&#10;grading patterns and propo" w:history="1">
        <w:r w:rsidRPr="00275810">
          <w:rPr>
            <w:rStyle w:val="Hyperlink"/>
            <w:rFonts w:ascii="Arial" w:eastAsia="Times New Roman" w:hAnsi="Arial" w:cs="Arial"/>
            <w:sz w:val="20"/>
            <w:szCs w:val="20"/>
            <w:vertAlign w:val="superscript"/>
            <w:lang w:val="en"/>
          </w:rPr>
          <w:t>6,</w:t>
        </w:r>
      </w:hyperlink>
      <w:hyperlink w:anchor="8440" w:tooltip="Epstein JI, Amin MB, Fine SW, et al. The 2019 Genitourinary Pathology Society (GUPS) White Paper on Contemporary Grading of Prostate Cancer. Arch Path Lab Med 2021;145:461-493." w:history="1">
        <w:r w:rsidRPr="00275810">
          <w:rPr>
            <w:rStyle w:val="Hyperlink"/>
            <w:rFonts w:ascii="Arial" w:eastAsia="Times New Roman" w:hAnsi="Arial" w:cs="Arial"/>
            <w:sz w:val="20"/>
            <w:szCs w:val="20"/>
            <w:vertAlign w:val="superscript"/>
            <w:lang w:val="en"/>
          </w:rPr>
          <w:t>7,</w:t>
        </w:r>
      </w:hyperlink>
      <w:hyperlink w:anchor="8441" w:tooltip="van Leenders GJLH, van der Kwast TH, Girgnon DJ, et al. The 2019 International Society of Urological Pathology (ISUP) Consensus Conference on Grading of Prostatic Carcinoma. Am J Surg Pathol 2020;44:e87-e99." w:history="1">
        <w:r w:rsidRPr="00275810">
          <w:rPr>
            <w:rStyle w:val="Hyperlink"/>
            <w:rFonts w:ascii="Arial" w:eastAsia="Times New Roman" w:hAnsi="Arial" w:cs="Arial"/>
            <w:sz w:val="20"/>
            <w:szCs w:val="20"/>
            <w:vertAlign w:val="superscript"/>
            <w:lang w:val="en"/>
          </w:rPr>
          <w:t>8</w:t>
        </w:r>
      </w:hyperlink>
      <w:r w:rsidRPr="00275810">
        <w:rPr>
          <w:rFonts w:ascii="Arial" w:eastAsia="Times New Roman" w:hAnsi="Arial" w:cs="Arial"/>
          <w:sz w:val="20"/>
          <w:szCs w:val="20"/>
          <w:lang w:val="en"/>
        </w:rPr>
        <w:t> However, grading invasive cancer with concomitant IDC is controversial. ISUP recommends incorporating IDC in determining the grade while GUPS recommends not to include IDC in determining the grade. It is recommended to specify which of these two approaches is applied when grading invasive cancer with concomitant IDC.</w:t>
      </w:r>
      <w:r w:rsidR="000B3016">
        <w:rPr>
          <w:rFonts w:ascii="Arial" w:eastAsia="Times New Roman" w:hAnsi="Arial" w:cs="Arial"/>
          <w:sz w:val="20"/>
          <w:szCs w:val="20"/>
          <w:lang w:val="en"/>
        </w:rPr>
        <w:tab/>
      </w:r>
      <w:r w:rsidRPr="00275810">
        <w:rPr>
          <w:rFonts w:ascii="Arial" w:eastAsia="Times New Roman" w:hAnsi="Arial" w:cs="Arial"/>
          <w:sz w:val="20"/>
          <w:szCs w:val="20"/>
          <w:lang w:val="en"/>
        </w:rPr>
        <w:br/>
      </w:r>
      <w:r w:rsidRPr="00275810">
        <w:rPr>
          <w:rFonts w:ascii="Arial" w:eastAsia="Times New Roman" w:hAnsi="Arial" w:cs="Arial"/>
          <w:sz w:val="20"/>
          <w:szCs w:val="20"/>
          <w:lang w:val="en"/>
        </w:rPr>
        <w:br/>
      </w:r>
      <w:r w:rsidRPr="00275810">
        <w:rPr>
          <w:rFonts w:ascii="Arial" w:eastAsia="Times New Roman" w:hAnsi="Arial" w:cs="Arial"/>
          <w:sz w:val="20"/>
          <w:szCs w:val="20"/>
          <w:lang w:val="en"/>
        </w:rPr>
        <w:lastRenderedPageBreak/>
        <w:t xml:space="preserve">Distinction between IDC and invasive cribriform or </w:t>
      </w:r>
      <w:proofErr w:type="spellStart"/>
      <w:r w:rsidRPr="00275810">
        <w:rPr>
          <w:rFonts w:ascii="Arial" w:eastAsia="Times New Roman" w:hAnsi="Arial" w:cs="Arial"/>
          <w:sz w:val="20"/>
          <w:szCs w:val="20"/>
          <w:lang w:val="en"/>
        </w:rPr>
        <w:t>comedonecrosis</w:t>
      </w:r>
      <w:proofErr w:type="spellEnd"/>
      <w:r w:rsidRPr="00275810">
        <w:rPr>
          <w:rFonts w:ascii="Arial" w:eastAsia="Times New Roman" w:hAnsi="Arial" w:cs="Arial"/>
          <w:sz w:val="20"/>
          <w:szCs w:val="20"/>
          <w:lang w:val="en"/>
        </w:rPr>
        <w:t xml:space="preserve"> patterns should be based on morphological examination. In the approach where IDC is not incorporated in grading, immunohistochemistry for basal cells can be used if the results will change the grade.</w:t>
      </w:r>
      <w:hyperlink w:anchor="8440" w:tooltip="Epstein JI, Amin MB, Fine SW, et al. The 2019 Genitourinary Pathology Society (GUPS) White Paper on Contemporary Grading of Prostate Cancer. Arch Path Lab Med 2021;145:461-493." w:history="1">
        <w:r w:rsidRPr="00275810">
          <w:rPr>
            <w:rStyle w:val="Hyperlink"/>
            <w:rFonts w:ascii="Arial" w:eastAsia="Times New Roman" w:hAnsi="Arial" w:cs="Arial"/>
            <w:sz w:val="20"/>
            <w:szCs w:val="20"/>
            <w:vertAlign w:val="superscript"/>
            <w:lang w:val="en"/>
          </w:rPr>
          <w:t>7</w:t>
        </w:r>
      </w:hyperlink>
    </w:p>
    <w:p w14:paraId="4CE7CD92" w14:textId="77777777" w:rsidR="00275810" w:rsidRPr="00275810" w:rsidRDefault="00275810">
      <w:pPr>
        <w:spacing w:after="0"/>
        <w:rPr>
          <w:rFonts w:ascii="Arial" w:eastAsia="Times New Roman" w:hAnsi="Arial" w:cs="Arial"/>
          <w:sz w:val="20"/>
          <w:szCs w:val="20"/>
          <w:lang w:val="en"/>
        </w:rPr>
      </w:pPr>
    </w:p>
    <w:p w14:paraId="65237CE1"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09D69A27" w14:textId="77777777" w:rsid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Guo CC and Epstein JI. Intraductal carcinoma of the prostate on needle biopsy: Histologic features and clinical significance. </w:t>
      </w:r>
      <w:r w:rsidRPr="00275810">
        <w:rPr>
          <w:rStyle w:val="Emphasis"/>
          <w:rFonts w:ascii="Arial" w:eastAsia="Times New Roman" w:hAnsi="Arial" w:cs="Arial"/>
          <w:sz w:val="20"/>
          <w:szCs w:val="20"/>
          <w:lang w:val="en"/>
        </w:rPr>
        <w:t xml:space="preserve">Mod </w:t>
      </w:r>
      <w:proofErr w:type="spellStart"/>
      <w:r w:rsidRPr="00275810">
        <w:rPr>
          <w:rStyle w:val="Emphasis"/>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2006;19(12):1528-1535.</w:t>
      </w:r>
    </w:p>
    <w:p w14:paraId="67B21A74" w14:textId="77777777" w:rsid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Cohen RJ, Wheeler TM, </w:t>
      </w:r>
      <w:proofErr w:type="spellStart"/>
      <w:r w:rsidRPr="00275810">
        <w:rPr>
          <w:rFonts w:ascii="Arial" w:eastAsia="Times New Roman" w:hAnsi="Arial" w:cs="Arial"/>
          <w:sz w:val="20"/>
          <w:szCs w:val="20"/>
          <w:lang w:val="en"/>
        </w:rPr>
        <w:t>Bonkhoff</w:t>
      </w:r>
      <w:proofErr w:type="spellEnd"/>
      <w:r w:rsidRPr="00275810">
        <w:rPr>
          <w:rFonts w:ascii="Arial" w:eastAsia="Times New Roman" w:hAnsi="Arial" w:cs="Arial"/>
          <w:sz w:val="20"/>
          <w:szCs w:val="20"/>
          <w:lang w:val="en"/>
        </w:rPr>
        <w:t xml:space="preserve"> H and Rubin MA. A proposal on the identification, histologic reporting, and implications of intraductal prostatic carcinoma. </w:t>
      </w:r>
      <w:r w:rsidRPr="00275810">
        <w:rPr>
          <w:rStyle w:val="Emphasis"/>
          <w:rFonts w:ascii="Arial" w:eastAsia="Times New Roman" w:hAnsi="Arial" w:cs="Arial"/>
          <w:sz w:val="20"/>
          <w:szCs w:val="20"/>
          <w:lang w:val="en"/>
        </w:rPr>
        <w:t xml:space="preserve">Arch </w:t>
      </w:r>
      <w:proofErr w:type="spellStart"/>
      <w:r w:rsidRPr="00275810">
        <w:rPr>
          <w:rStyle w:val="Emphasis"/>
          <w:rFonts w:ascii="Arial" w:eastAsia="Times New Roman" w:hAnsi="Arial" w:cs="Arial"/>
          <w:sz w:val="20"/>
          <w:szCs w:val="20"/>
          <w:lang w:val="en"/>
        </w:rPr>
        <w:t>Pathol</w:t>
      </w:r>
      <w:proofErr w:type="spellEnd"/>
      <w:r w:rsidRPr="00275810">
        <w:rPr>
          <w:rStyle w:val="Emphasis"/>
          <w:rFonts w:ascii="Arial" w:eastAsia="Times New Roman" w:hAnsi="Arial" w:cs="Arial"/>
          <w:sz w:val="20"/>
          <w:szCs w:val="20"/>
          <w:lang w:val="en"/>
        </w:rPr>
        <w:t xml:space="preserve"> Lab Med.</w:t>
      </w:r>
      <w:r w:rsidRPr="00275810">
        <w:rPr>
          <w:rFonts w:ascii="Arial" w:eastAsia="Times New Roman" w:hAnsi="Arial" w:cs="Arial"/>
          <w:sz w:val="20"/>
          <w:szCs w:val="20"/>
          <w:lang w:val="en"/>
        </w:rPr>
        <w:t xml:space="preserve"> 2007;131(7):1103-1109</w:t>
      </w:r>
      <w:r w:rsidR="00275810">
        <w:rPr>
          <w:rFonts w:ascii="Arial" w:eastAsia="Times New Roman" w:hAnsi="Arial" w:cs="Arial"/>
          <w:sz w:val="20"/>
          <w:szCs w:val="20"/>
          <w:lang w:val="en"/>
        </w:rPr>
        <w:t>.</w:t>
      </w:r>
    </w:p>
    <w:p w14:paraId="30856F65" w14:textId="77777777" w:rsidR="00275810" w:rsidRP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hAnsi="Arial" w:cs="Arial"/>
          <w:sz w:val="20"/>
          <w:szCs w:val="20"/>
          <w:lang w:val="en"/>
        </w:rPr>
        <w:t xml:space="preserve">Zhou M. Intraductal carcinoma of the prostate: the whole story. </w:t>
      </w:r>
      <w:r w:rsidRPr="00275810">
        <w:rPr>
          <w:rStyle w:val="Emphasis"/>
          <w:rFonts w:ascii="Arial" w:hAnsi="Arial" w:cs="Arial"/>
          <w:iCs w:val="0"/>
          <w:sz w:val="20"/>
          <w:szCs w:val="20"/>
          <w:lang w:val="en"/>
        </w:rPr>
        <w:t>Pathology</w:t>
      </w:r>
      <w:r w:rsidRPr="00275810">
        <w:rPr>
          <w:rFonts w:ascii="Arial" w:hAnsi="Arial" w:cs="Arial"/>
          <w:sz w:val="20"/>
          <w:szCs w:val="20"/>
          <w:lang w:val="en"/>
        </w:rPr>
        <w:t>. 2013;45(6):533-539.</w:t>
      </w:r>
    </w:p>
    <w:p w14:paraId="7144107A" w14:textId="77777777" w:rsidR="00275810" w:rsidRDefault="008C0CF6" w:rsidP="00275810">
      <w:pPr>
        <w:pStyle w:val="ListParagraph"/>
        <w:numPr>
          <w:ilvl w:val="0"/>
          <w:numId w:val="10"/>
        </w:numPr>
        <w:spacing w:after="0"/>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Montironi</w:t>
      </w:r>
      <w:proofErr w:type="spellEnd"/>
      <w:r w:rsidRPr="00275810">
        <w:rPr>
          <w:rFonts w:ascii="Arial" w:eastAsia="Times New Roman" w:hAnsi="Arial" w:cs="Arial"/>
          <w:sz w:val="20"/>
          <w:szCs w:val="20"/>
          <w:lang w:val="en"/>
        </w:rPr>
        <w:t xml:space="preserve"> R, Zhou M, Magi-</w:t>
      </w:r>
      <w:proofErr w:type="spellStart"/>
      <w:r w:rsidRPr="00275810">
        <w:rPr>
          <w:rFonts w:ascii="Arial" w:eastAsia="Times New Roman" w:hAnsi="Arial" w:cs="Arial"/>
          <w:sz w:val="20"/>
          <w:szCs w:val="20"/>
          <w:lang w:val="en"/>
        </w:rPr>
        <w:t>Galluzzi</w:t>
      </w:r>
      <w:proofErr w:type="spellEnd"/>
      <w:r w:rsidRPr="00275810">
        <w:rPr>
          <w:rFonts w:ascii="Arial" w:eastAsia="Times New Roman" w:hAnsi="Arial" w:cs="Arial"/>
          <w:sz w:val="20"/>
          <w:szCs w:val="20"/>
          <w:lang w:val="en"/>
        </w:rPr>
        <w:t xml:space="preserve"> C, Epstein JI. Features and prognostic significance of intraductal carcinoma of the prostate. Eur </w:t>
      </w:r>
      <w:proofErr w:type="spellStart"/>
      <w:r w:rsidRPr="00275810">
        <w:rPr>
          <w:rFonts w:ascii="Arial" w:eastAsia="Times New Roman" w:hAnsi="Arial" w:cs="Arial"/>
          <w:sz w:val="20"/>
          <w:szCs w:val="20"/>
          <w:lang w:val="en"/>
        </w:rPr>
        <w:t>Urol</w:t>
      </w:r>
      <w:proofErr w:type="spellEnd"/>
      <w:r w:rsidRPr="00275810">
        <w:rPr>
          <w:rFonts w:ascii="Arial" w:eastAsia="Times New Roman" w:hAnsi="Arial" w:cs="Arial"/>
          <w:sz w:val="20"/>
          <w:szCs w:val="20"/>
          <w:lang w:val="en"/>
        </w:rPr>
        <w:t xml:space="preserve"> Oncol. 2018;1:21-28.</w:t>
      </w:r>
    </w:p>
    <w:p w14:paraId="433551EF" w14:textId="77777777" w:rsid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Varma M. Intraductal carcinoma of the prostate: A guide for practicing pathologist. Adv </w:t>
      </w:r>
      <w:proofErr w:type="spellStart"/>
      <w:r w:rsidRPr="00275810">
        <w:rPr>
          <w:rFonts w:ascii="Arial" w:eastAsia="Times New Roman" w:hAnsi="Arial" w:cs="Arial"/>
          <w:sz w:val="20"/>
          <w:szCs w:val="20"/>
          <w:lang w:val="en"/>
        </w:rPr>
        <w:t>Anat</w:t>
      </w:r>
      <w:proofErr w:type="spellEnd"/>
      <w:r w:rsidRPr="00275810">
        <w:rPr>
          <w:rFonts w:ascii="Arial" w:eastAsia="Times New Roman" w:hAnsi="Arial" w:cs="Arial"/>
          <w:sz w:val="20"/>
          <w:szCs w:val="20"/>
          <w:lang w:val="en"/>
        </w:rPr>
        <w:t xml:space="preserve">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2021. Online ahead of print.</w:t>
      </w:r>
    </w:p>
    <w:p w14:paraId="3A80B07D" w14:textId="77777777" w:rsid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Epstein JI, </w:t>
      </w:r>
      <w:proofErr w:type="spellStart"/>
      <w:r w:rsidRPr="00275810">
        <w:rPr>
          <w:rFonts w:ascii="Arial" w:eastAsia="Times New Roman" w:hAnsi="Arial" w:cs="Arial"/>
          <w:sz w:val="20"/>
          <w:szCs w:val="20"/>
          <w:lang w:val="en"/>
        </w:rPr>
        <w:t>Egevad</w:t>
      </w:r>
      <w:proofErr w:type="spellEnd"/>
      <w:r w:rsidRPr="00275810">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275810">
        <w:rPr>
          <w:rStyle w:val="Emphasis"/>
          <w:rFonts w:ascii="Arial" w:eastAsia="Times New Roman" w:hAnsi="Arial" w:cs="Arial"/>
          <w:sz w:val="20"/>
          <w:szCs w:val="20"/>
          <w:lang w:val="en"/>
        </w:rPr>
        <w:t xml:space="preserve">Am J Surg </w:t>
      </w:r>
      <w:proofErr w:type="spellStart"/>
      <w:r w:rsidRPr="00275810">
        <w:rPr>
          <w:rStyle w:val="Emphasis"/>
          <w:rFonts w:ascii="Arial" w:eastAsia="Times New Roman" w:hAnsi="Arial" w:cs="Arial"/>
          <w:sz w:val="20"/>
          <w:szCs w:val="20"/>
          <w:lang w:val="en"/>
        </w:rPr>
        <w:t>Pathol</w:t>
      </w:r>
      <w:proofErr w:type="spellEnd"/>
      <w:r w:rsidRPr="00275810">
        <w:rPr>
          <w:rStyle w:val="Emphasis"/>
          <w:rFonts w:ascii="Arial" w:eastAsia="Times New Roman" w:hAnsi="Arial" w:cs="Arial"/>
          <w:sz w:val="20"/>
          <w:szCs w:val="20"/>
          <w:lang w:val="en"/>
        </w:rPr>
        <w:t>.</w:t>
      </w:r>
      <w:r w:rsidRPr="00275810">
        <w:rPr>
          <w:rFonts w:ascii="Arial" w:eastAsia="Times New Roman" w:hAnsi="Arial" w:cs="Arial"/>
          <w:sz w:val="20"/>
          <w:szCs w:val="20"/>
          <w:lang w:val="en"/>
        </w:rPr>
        <w:t xml:space="preserve"> 2016; 40: 244-252.</w:t>
      </w:r>
    </w:p>
    <w:p w14:paraId="64DFEBA6" w14:textId="77777777" w:rsidR="00275810"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5B2C2AF0" w14:textId="7D603277" w:rsidR="00C74D95" w:rsidRDefault="008C0CF6" w:rsidP="00275810">
      <w:pPr>
        <w:pStyle w:val="ListParagraph"/>
        <w:numPr>
          <w:ilvl w:val="0"/>
          <w:numId w:val="10"/>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van </w:t>
      </w:r>
      <w:proofErr w:type="spellStart"/>
      <w:r w:rsidRPr="00275810">
        <w:rPr>
          <w:rFonts w:ascii="Arial" w:eastAsia="Times New Roman" w:hAnsi="Arial" w:cs="Arial"/>
          <w:sz w:val="20"/>
          <w:szCs w:val="20"/>
          <w:lang w:val="en"/>
        </w:rPr>
        <w:t>Leenders</w:t>
      </w:r>
      <w:proofErr w:type="spellEnd"/>
      <w:r w:rsidRPr="00275810">
        <w:rPr>
          <w:rFonts w:ascii="Arial" w:eastAsia="Times New Roman" w:hAnsi="Arial" w:cs="Arial"/>
          <w:sz w:val="20"/>
          <w:szCs w:val="20"/>
          <w:lang w:val="en"/>
        </w:rPr>
        <w:t xml:space="preserve"> GJLH, van der Kwast TH, </w:t>
      </w:r>
      <w:proofErr w:type="spellStart"/>
      <w:r w:rsidRPr="00275810">
        <w:rPr>
          <w:rFonts w:ascii="Arial" w:eastAsia="Times New Roman" w:hAnsi="Arial" w:cs="Arial"/>
          <w:sz w:val="20"/>
          <w:szCs w:val="20"/>
          <w:lang w:val="en"/>
        </w:rPr>
        <w:t>Girgnon</w:t>
      </w:r>
      <w:proofErr w:type="spellEnd"/>
      <w:r w:rsidRPr="00275810">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2020;44:e87-e99.</w:t>
      </w:r>
    </w:p>
    <w:p w14:paraId="6E7D0666" w14:textId="77777777" w:rsidR="00275810" w:rsidRPr="00275810" w:rsidRDefault="00275810" w:rsidP="00275810">
      <w:pPr>
        <w:pStyle w:val="ListParagraph"/>
        <w:spacing w:after="0"/>
        <w:rPr>
          <w:rFonts w:ascii="Arial" w:eastAsia="Times New Roman" w:hAnsi="Arial" w:cs="Arial"/>
          <w:sz w:val="20"/>
          <w:szCs w:val="20"/>
          <w:lang w:val="en"/>
        </w:rPr>
      </w:pPr>
    </w:p>
    <w:p w14:paraId="48781A25"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E. Quantitation of Tumor</w:t>
      </w:r>
    </w:p>
    <w:p w14:paraId="2381F3FC" w14:textId="1565F380" w:rsidR="00C74D95" w:rsidRDefault="008C0CF6" w:rsidP="000B3016">
      <w:pPr>
        <w:spacing w:after="0"/>
        <w:jc w:val="both"/>
        <w:rPr>
          <w:rFonts w:ascii="Arial" w:hAnsi="Arial" w:cs="Arial"/>
          <w:sz w:val="20"/>
          <w:szCs w:val="20"/>
          <w:lang w:val="en"/>
        </w:rPr>
      </w:pPr>
      <w:r w:rsidRPr="00275810">
        <w:rPr>
          <w:rFonts w:ascii="Arial" w:hAnsi="Arial" w:cs="Arial"/>
          <w:sz w:val="20"/>
          <w:szCs w:val="20"/>
          <w:lang w:val="en"/>
        </w:rPr>
        <w:t>Studies have shown that prostate cancer volume is a prognostic factor, although the data on its independent prognostic significance is conflicting.</w:t>
      </w:r>
      <w:hyperlink w:anchor="8445" w:tooltip="Stamey T, McNeal J, Yemoto C, et al. Biological determinants of cancer progression in men with prostate cancer. JAMA 1999;281:1395-1400." w:history="1">
        <w:r w:rsidRPr="00275810">
          <w:rPr>
            <w:rStyle w:val="Hyperlink"/>
            <w:rFonts w:ascii="Arial" w:hAnsi="Arial" w:cs="Arial"/>
            <w:sz w:val="20"/>
            <w:szCs w:val="20"/>
            <w:vertAlign w:val="superscript"/>
            <w:lang w:val="en"/>
          </w:rPr>
          <w:t>1,</w:t>
        </w:r>
      </w:hyperlink>
      <w:hyperlink w:anchor="8446" w:tooltip="Salomon L, Levrel O, Anastasiadis A, et al. Prognostic significance of tumor volume after radical prostatectomy: a multivariate analysis of pathological prognostic factors. Eur Urol 2003;43:39-44." w:history="1">
        <w:r w:rsidRPr="00275810">
          <w:rPr>
            <w:rStyle w:val="Hyperlink"/>
            <w:rFonts w:ascii="Arial" w:hAnsi="Arial" w:cs="Arial"/>
            <w:sz w:val="20"/>
            <w:szCs w:val="20"/>
            <w:vertAlign w:val="superscript"/>
            <w:lang w:val="en"/>
          </w:rPr>
          <w:t>2,</w:t>
        </w:r>
      </w:hyperlink>
      <w:hyperlink w:anchor="8444" w:tooltip="Epstein JI. Prognostic significance of tumor volume in radical prostatectomy and needle biopsy. J Urol. 2011;187:790-7." w:history="1">
        <w:r w:rsidRPr="00275810">
          <w:rPr>
            <w:rStyle w:val="Hyperlink"/>
            <w:rFonts w:ascii="Arial" w:hAnsi="Arial" w:cs="Arial"/>
            <w:sz w:val="20"/>
            <w:szCs w:val="20"/>
            <w:vertAlign w:val="superscript"/>
            <w:lang w:val="en"/>
          </w:rPr>
          <w:t>3,</w:t>
        </w:r>
      </w:hyperlink>
      <w:hyperlink w:anchor="8448" w:tooltip="Paner GP, Magi-Galluzzi C, Amin MB, Srigley JR: Adenocarcinoma of the prostate. In: Amin MB, Grignon DJ, Srigley JR, Eble JN,eds. Urological Pathology. Philadelphia, PA: Lippincott William &amp; Wilkins; 2014:559-673. " w:history="1">
        <w:r w:rsidRPr="00275810">
          <w:rPr>
            <w:rStyle w:val="Hyperlink"/>
            <w:rFonts w:ascii="Arial" w:hAnsi="Arial" w:cs="Arial"/>
            <w:sz w:val="20"/>
            <w:szCs w:val="20"/>
            <w:vertAlign w:val="superscript"/>
            <w:lang w:val="en"/>
          </w:rPr>
          <w:t>4,</w:t>
        </w:r>
      </w:hyperlink>
      <w:hyperlink w:anchor="8447" w:tooltip="Ito Y, Vertosick EA, Sjoberg DD, et al. In organ-confined prostate cancer, tumor quantitation not found to aid in prediction of biochemical recurrence. Am J Surg Pathol 2019;43:1061-1065.  " w:history="1">
        <w:r w:rsidRPr="00275810">
          <w:rPr>
            <w:rStyle w:val="Hyperlink"/>
            <w:rFonts w:ascii="Arial" w:hAnsi="Arial" w:cs="Arial"/>
            <w:sz w:val="20"/>
            <w:szCs w:val="20"/>
            <w:vertAlign w:val="superscript"/>
            <w:lang w:val="en"/>
          </w:rPr>
          <w:t>5</w:t>
        </w:r>
      </w:hyperlink>
      <w:r w:rsidRPr="00275810">
        <w:rPr>
          <w:rFonts w:ascii="Arial" w:hAnsi="Arial" w:cs="Arial"/>
          <w:sz w:val="20"/>
          <w:szCs w:val="20"/>
          <w:lang w:val="en"/>
        </w:rPr>
        <w:t>   The designation of the percentage of cancer tissue in transurethral samples is important. When prostate cancer is discovered incidentally (</w:t>
      </w:r>
      <w:proofErr w:type="spellStart"/>
      <w:r w:rsidRPr="00275810">
        <w:rPr>
          <w:rFonts w:ascii="Arial" w:hAnsi="Arial" w:cs="Arial"/>
          <w:sz w:val="20"/>
          <w:szCs w:val="20"/>
          <w:lang w:val="en"/>
        </w:rPr>
        <w:t>ie</w:t>
      </w:r>
      <w:proofErr w:type="spellEnd"/>
      <w:r w:rsidRPr="00275810">
        <w:rPr>
          <w:rFonts w:ascii="Arial" w:hAnsi="Arial" w:cs="Arial"/>
          <w:sz w:val="20"/>
          <w:szCs w:val="20"/>
          <w:lang w:val="en"/>
        </w:rPr>
        <w:t>, discovered in specimens submitted for clinically benign disease, usually benign prostatic hyperplasia [BPH]), the percentage involvement is used to determine the clinical T1 substage, with less than or equal to 5% involvement being T1a and greater than 5% being T1b.</w:t>
      </w:r>
      <w:hyperlink w:anchor="8450" w:tooltip="Amin MB, Edge SB, Greene FL, et al. eds. AJCC Cancer Staging Manual. 8th ed. New York, NY: Springer; 2017. " w:history="1">
        <w:r w:rsidRPr="00275810">
          <w:rPr>
            <w:rStyle w:val="Hyperlink"/>
            <w:rFonts w:ascii="Arial" w:hAnsi="Arial" w:cs="Arial"/>
            <w:sz w:val="20"/>
            <w:szCs w:val="20"/>
            <w:vertAlign w:val="superscript"/>
            <w:lang w:val="en"/>
          </w:rPr>
          <w:t>6</w:t>
        </w:r>
      </w:hyperlink>
      <w:r w:rsidRPr="00275810">
        <w:rPr>
          <w:rFonts w:ascii="Arial" w:hAnsi="Arial" w:cs="Arial"/>
          <w:sz w:val="20"/>
          <w:szCs w:val="20"/>
          <w:lang w:val="en"/>
        </w:rPr>
        <w:t> In TURP and enucleations specimens, the percentage of tissue involved by tumor can also be quantified by simple visual inspection.</w:t>
      </w:r>
    </w:p>
    <w:p w14:paraId="033B2888" w14:textId="77777777" w:rsidR="00275810" w:rsidRPr="00275810" w:rsidRDefault="00275810" w:rsidP="00275810">
      <w:pPr>
        <w:spacing w:after="0"/>
        <w:rPr>
          <w:rFonts w:ascii="Arial" w:hAnsi="Arial" w:cs="Arial"/>
          <w:sz w:val="20"/>
          <w:szCs w:val="20"/>
          <w:lang w:val="en"/>
        </w:rPr>
      </w:pPr>
    </w:p>
    <w:p w14:paraId="089C8E46"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7C013DF1" w14:textId="77777777" w:rsidR="00275810" w:rsidRDefault="008C0CF6" w:rsidP="00275810">
      <w:pPr>
        <w:pStyle w:val="ListParagraph"/>
        <w:numPr>
          <w:ilvl w:val="0"/>
          <w:numId w:val="11"/>
        </w:numPr>
        <w:spacing w:after="0"/>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Stamey</w:t>
      </w:r>
      <w:proofErr w:type="spellEnd"/>
      <w:r w:rsidRPr="00275810">
        <w:rPr>
          <w:rFonts w:ascii="Arial" w:eastAsia="Times New Roman" w:hAnsi="Arial" w:cs="Arial"/>
          <w:sz w:val="20"/>
          <w:szCs w:val="20"/>
          <w:lang w:val="en"/>
        </w:rPr>
        <w:t xml:space="preserve"> T, McNeal J, </w:t>
      </w:r>
      <w:proofErr w:type="spellStart"/>
      <w:r w:rsidRPr="00275810">
        <w:rPr>
          <w:rFonts w:ascii="Arial" w:eastAsia="Times New Roman" w:hAnsi="Arial" w:cs="Arial"/>
          <w:sz w:val="20"/>
          <w:szCs w:val="20"/>
          <w:lang w:val="en"/>
        </w:rPr>
        <w:t>Yemoto</w:t>
      </w:r>
      <w:proofErr w:type="spellEnd"/>
      <w:r w:rsidRPr="00275810">
        <w:rPr>
          <w:rFonts w:ascii="Arial" w:eastAsia="Times New Roman" w:hAnsi="Arial" w:cs="Arial"/>
          <w:sz w:val="20"/>
          <w:szCs w:val="20"/>
          <w:lang w:val="en"/>
        </w:rPr>
        <w:t xml:space="preserve"> C, et al. Biological determinants of cancer progression in men with prostate cancer. JAMA 1999;281:1395-1400.</w:t>
      </w:r>
    </w:p>
    <w:p w14:paraId="13679B29" w14:textId="77777777" w:rsidR="00275810" w:rsidRDefault="008C0CF6" w:rsidP="00275810">
      <w:pPr>
        <w:pStyle w:val="ListParagraph"/>
        <w:numPr>
          <w:ilvl w:val="0"/>
          <w:numId w:val="11"/>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Salomon L, </w:t>
      </w:r>
      <w:proofErr w:type="spellStart"/>
      <w:r w:rsidRPr="00275810">
        <w:rPr>
          <w:rFonts w:ascii="Arial" w:eastAsia="Times New Roman" w:hAnsi="Arial" w:cs="Arial"/>
          <w:sz w:val="20"/>
          <w:szCs w:val="20"/>
          <w:lang w:val="en"/>
        </w:rPr>
        <w:t>Levrel</w:t>
      </w:r>
      <w:proofErr w:type="spellEnd"/>
      <w:r w:rsidRPr="00275810">
        <w:rPr>
          <w:rFonts w:ascii="Arial" w:eastAsia="Times New Roman" w:hAnsi="Arial" w:cs="Arial"/>
          <w:sz w:val="20"/>
          <w:szCs w:val="20"/>
          <w:lang w:val="en"/>
        </w:rPr>
        <w:t xml:space="preserve"> O, Anastasiadis A, et al. Prognostic significance of tumor volume after radical prostatectomy: a multivariate analysis of pathological prognostic factors. Eur </w:t>
      </w:r>
      <w:proofErr w:type="spellStart"/>
      <w:r w:rsidRPr="00275810">
        <w:rPr>
          <w:rFonts w:ascii="Arial" w:eastAsia="Times New Roman" w:hAnsi="Arial" w:cs="Arial"/>
          <w:sz w:val="20"/>
          <w:szCs w:val="20"/>
          <w:lang w:val="en"/>
        </w:rPr>
        <w:t>Urol</w:t>
      </w:r>
      <w:proofErr w:type="spellEnd"/>
      <w:r w:rsidRPr="00275810">
        <w:rPr>
          <w:rFonts w:ascii="Arial" w:eastAsia="Times New Roman" w:hAnsi="Arial" w:cs="Arial"/>
          <w:sz w:val="20"/>
          <w:szCs w:val="20"/>
          <w:lang w:val="en"/>
        </w:rPr>
        <w:t xml:space="preserve"> 2003;43:39-44.</w:t>
      </w:r>
    </w:p>
    <w:p w14:paraId="4FBBE96F" w14:textId="77777777" w:rsidR="00275810" w:rsidRDefault="008C0CF6" w:rsidP="00275810">
      <w:pPr>
        <w:pStyle w:val="ListParagraph"/>
        <w:numPr>
          <w:ilvl w:val="0"/>
          <w:numId w:val="11"/>
        </w:numPr>
        <w:spacing w:after="0"/>
        <w:rPr>
          <w:rFonts w:ascii="Arial" w:eastAsia="Times New Roman" w:hAnsi="Arial" w:cs="Arial"/>
          <w:sz w:val="20"/>
          <w:szCs w:val="20"/>
          <w:lang w:val="en"/>
        </w:rPr>
      </w:pPr>
      <w:r w:rsidRPr="00275810">
        <w:rPr>
          <w:rFonts w:ascii="Arial" w:eastAsia="Times New Roman" w:hAnsi="Arial" w:cs="Arial"/>
          <w:sz w:val="20"/>
          <w:szCs w:val="20"/>
          <w:lang w:val="en"/>
        </w:rPr>
        <w:t>Epstein JI. Prognostic significance of tumor volume in radical prostatectomy and needle biopsy. J Urol. 2011;187:790-7.</w:t>
      </w:r>
    </w:p>
    <w:p w14:paraId="222716C5" w14:textId="77777777" w:rsidR="00275810" w:rsidRDefault="008C0CF6" w:rsidP="00275810">
      <w:pPr>
        <w:pStyle w:val="ListParagraph"/>
        <w:numPr>
          <w:ilvl w:val="0"/>
          <w:numId w:val="11"/>
        </w:numPr>
        <w:spacing w:after="0"/>
        <w:rPr>
          <w:rFonts w:ascii="Arial" w:eastAsia="Times New Roman" w:hAnsi="Arial" w:cs="Arial"/>
          <w:sz w:val="20"/>
          <w:szCs w:val="20"/>
          <w:lang w:val="en"/>
        </w:rPr>
      </w:pPr>
      <w:r w:rsidRPr="00275810">
        <w:rPr>
          <w:rFonts w:ascii="Arial" w:eastAsia="Times New Roman" w:hAnsi="Arial" w:cs="Arial"/>
          <w:sz w:val="20"/>
          <w:szCs w:val="20"/>
          <w:lang w:val="en"/>
        </w:rPr>
        <w:t>Paner GP, Magi-</w:t>
      </w:r>
      <w:proofErr w:type="spellStart"/>
      <w:r w:rsidRPr="00275810">
        <w:rPr>
          <w:rFonts w:ascii="Arial" w:eastAsia="Times New Roman" w:hAnsi="Arial" w:cs="Arial"/>
          <w:sz w:val="20"/>
          <w:szCs w:val="20"/>
          <w:lang w:val="en"/>
        </w:rPr>
        <w:t>Galluzzi</w:t>
      </w:r>
      <w:proofErr w:type="spellEnd"/>
      <w:r w:rsidRPr="00275810">
        <w:rPr>
          <w:rFonts w:ascii="Arial" w:eastAsia="Times New Roman" w:hAnsi="Arial" w:cs="Arial"/>
          <w:sz w:val="20"/>
          <w:szCs w:val="20"/>
          <w:lang w:val="en"/>
        </w:rPr>
        <w:t xml:space="preserve"> C, Amin MB, Srigley JR: Adenocarcinoma of the prostate. In: Amin MB, </w:t>
      </w:r>
      <w:proofErr w:type="spellStart"/>
      <w:r w:rsidRPr="00275810">
        <w:rPr>
          <w:rFonts w:ascii="Arial" w:eastAsia="Times New Roman" w:hAnsi="Arial" w:cs="Arial"/>
          <w:sz w:val="20"/>
          <w:szCs w:val="20"/>
          <w:lang w:val="en"/>
        </w:rPr>
        <w:t>Grignon</w:t>
      </w:r>
      <w:proofErr w:type="spellEnd"/>
      <w:r w:rsidRPr="00275810">
        <w:rPr>
          <w:rFonts w:ascii="Arial" w:eastAsia="Times New Roman" w:hAnsi="Arial" w:cs="Arial"/>
          <w:sz w:val="20"/>
          <w:szCs w:val="20"/>
          <w:lang w:val="en"/>
        </w:rPr>
        <w:t xml:space="preserve"> DJ, Srigley JR, </w:t>
      </w:r>
      <w:proofErr w:type="spellStart"/>
      <w:r w:rsidRPr="00275810">
        <w:rPr>
          <w:rFonts w:ascii="Arial" w:eastAsia="Times New Roman" w:hAnsi="Arial" w:cs="Arial"/>
          <w:sz w:val="20"/>
          <w:szCs w:val="20"/>
          <w:lang w:val="en"/>
        </w:rPr>
        <w:t>Eble</w:t>
      </w:r>
      <w:proofErr w:type="spellEnd"/>
      <w:r w:rsidRPr="00275810">
        <w:rPr>
          <w:rFonts w:ascii="Arial" w:eastAsia="Times New Roman" w:hAnsi="Arial" w:cs="Arial"/>
          <w:sz w:val="20"/>
          <w:szCs w:val="20"/>
          <w:lang w:val="en"/>
        </w:rPr>
        <w:t xml:space="preserve"> </w:t>
      </w:r>
      <w:proofErr w:type="spellStart"/>
      <w:r w:rsidRPr="00275810">
        <w:rPr>
          <w:rFonts w:ascii="Arial" w:eastAsia="Times New Roman" w:hAnsi="Arial" w:cs="Arial"/>
          <w:sz w:val="20"/>
          <w:szCs w:val="20"/>
          <w:lang w:val="en"/>
        </w:rPr>
        <w:t>JN,eds</w:t>
      </w:r>
      <w:proofErr w:type="spellEnd"/>
      <w:r w:rsidRPr="00275810">
        <w:rPr>
          <w:rFonts w:ascii="Arial" w:eastAsia="Times New Roman" w:hAnsi="Arial" w:cs="Arial"/>
          <w:sz w:val="20"/>
          <w:szCs w:val="20"/>
          <w:lang w:val="en"/>
        </w:rPr>
        <w:t>. Urological Pathology. Philadelphia, PA: Lippincott William &amp; Wilkins; 2014:559-673. </w:t>
      </w:r>
    </w:p>
    <w:p w14:paraId="10B2FDE4" w14:textId="77777777" w:rsidR="00275810" w:rsidRDefault="008C0CF6" w:rsidP="00275810">
      <w:pPr>
        <w:pStyle w:val="ListParagraph"/>
        <w:numPr>
          <w:ilvl w:val="0"/>
          <w:numId w:val="11"/>
        </w:numPr>
        <w:spacing w:after="0"/>
        <w:rPr>
          <w:rFonts w:ascii="Arial" w:eastAsia="Times New Roman" w:hAnsi="Arial" w:cs="Arial"/>
          <w:sz w:val="20"/>
          <w:szCs w:val="20"/>
          <w:lang w:val="en"/>
        </w:rPr>
      </w:pPr>
      <w:r w:rsidRPr="00275810">
        <w:rPr>
          <w:rFonts w:ascii="Arial" w:eastAsia="Times New Roman" w:hAnsi="Arial" w:cs="Arial"/>
          <w:sz w:val="20"/>
          <w:szCs w:val="20"/>
          <w:lang w:val="en"/>
        </w:rPr>
        <w:t xml:space="preserve">Ito Y, </w:t>
      </w:r>
      <w:proofErr w:type="spellStart"/>
      <w:r w:rsidRPr="00275810">
        <w:rPr>
          <w:rFonts w:ascii="Arial" w:eastAsia="Times New Roman" w:hAnsi="Arial" w:cs="Arial"/>
          <w:sz w:val="20"/>
          <w:szCs w:val="20"/>
          <w:lang w:val="en"/>
        </w:rPr>
        <w:t>Vertosick</w:t>
      </w:r>
      <w:proofErr w:type="spellEnd"/>
      <w:r w:rsidRPr="00275810">
        <w:rPr>
          <w:rFonts w:ascii="Arial" w:eastAsia="Times New Roman" w:hAnsi="Arial" w:cs="Arial"/>
          <w:sz w:val="20"/>
          <w:szCs w:val="20"/>
          <w:lang w:val="en"/>
        </w:rPr>
        <w:t xml:space="preserve"> EA, Sjoberg DD, et al. In organ-confined prostate cancer, tumor quantitation not found to aid in prediction of biochemical recurrence. Am J Surg </w:t>
      </w:r>
      <w:proofErr w:type="spellStart"/>
      <w:r w:rsidRPr="00275810">
        <w:rPr>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xml:space="preserve"> 2019;43:1061-1065.  </w:t>
      </w:r>
    </w:p>
    <w:p w14:paraId="502C8821" w14:textId="40863E8A" w:rsidR="00275810" w:rsidRDefault="008C0CF6" w:rsidP="00275810">
      <w:pPr>
        <w:pStyle w:val="ListParagraph"/>
        <w:numPr>
          <w:ilvl w:val="0"/>
          <w:numId w:val="11"/>
        </w:numPr>
        <w:spacing w:after="0"/>
        <w:rPr>
          <w:rFonts w:ascii="Arial" w:eastAsia="Times New Roman" w:hAnsi="Arial" w:cs="Arial"/>
          <w:sz w:val="20"/>
          <w:szCs w:val="20"/>
          <w:lang w:val="en"/>
        </w:rPr>
      </w:pPr>
      <w:r w:rsidRPr="00275810">
        <w:rPr>
          <w:rFonts w:ascii="Arial" w:eastAsia="Times New Roman" w:hAnsi="Arial" w:cs="Arial"/>
          <w:sz w:val="20"/>
          <w:szCs w:val="20"/>
          <w:lang w:val="en"/>
        </w:rPr>
        <w:t>Amin MB, Edge SB, Greene FL, et al. eds. AJCC Cancer Staging Manual. 8th ed. New York, NY: Springer; 2017. </w:t>
      </w:r>
    </w:p>
    <w:p w14:paraId="7919FD7C" w14:textId="77777777" w:rsidR="00275810" w:rsidRDefault="00275810">
      <w:pPr>
        <w:rPr>
          <w:rFonts w:ascii="Arial" w:eastAsia="Times New Roman" w:hAnsi="Arial" w:cs="Arial"/>
          <w:sz w:val="20"/>
          <w:szCs w:val="20"/>
          <w:lang w:val="en"/>
        </w:rPr>
      </w:pPr>
      <w:r>
        <w:rPr>
          <w:rFonts w:ascii="Arial" w:eastAsia="Times New Roman" w:hAnsi="Arial" w:cs="Arial"/>
          <w:sz w:val="20"/>
          <w:szCs w:val="20"/>
          <w:lang w:val="en"/>
        </w:rPr>
        <w:br w:type="page"/>
      </w:r>
    </w:p>
    <w:p w14:paraId="743F6EB0" w14:textId="77777777" w:rsidR="00C74D95" w:rsidRPr="00275810" w:rsidRDefault="00C74D95" w:rsidP="00275810">
      <w:pPr>
        <w:pStyle w:val="ListParagraph"/>
        <w:spacing w:after="0"/>
        <w:rPr>
          <w:rFonts w:ascii="Arial" w:eastAsia="Times New Roman" w:hAnsi="Arial" w:cs="Arial"/>
          <w:sz w:val="20"/>
          <w:szCs w:val="20"/>
          <w:lang w:val="en"/>
        </w:rPr>
      </w:pPr>
    </w:p>
    <w:p w14:paraId="576F2F2E" w14:textId="77777777" w:rsidR="00C74D95" w:rsidRPr="00275810" w:rsidRDefault="008C0CF6">
      <w:pPr>
        <w:spacing w:after="0"/>
        <w:rPr>
          <w:rFonts w:ascii="Arial" w:eastAsia="Times New Roman" w:hAnsi="Arial" w:cs="Arial"/>
          <w:b/>
          <w:bCs/>
          <w:sz w:val="20"/>
          <w:szCs w:val="20"/>
          <w:lang w:val="en"/>
        </w:rPr>
      </w:pPr>
      <w:r w:rsidRPr="00275810">
        <w:rPr>
          <w:rFonts w:ascii="Arial" w:eastAsia="Times New Roman" w:hAnsi="Arial" w:cs="Arial"/>
          <w:b/>
          <w:bCs/>
          <w:sz w:val="20"/>
          <w:szCs w:val="20"/>
          <w:lang w:val="en"/>
        </w:rPr>
        <w:t>F. Perineural Invasion</w:t>
      </w:r>
    </w:p>
    <w:p w14:paraId="4717722B" w14:textId="6482EDB7" w:rsidR="00C74D95" w:rsidRPr="00275810" w:rsidRDefault="008C0CF6" w:rsidP="000B3016">
      <w:pPr>
        <w:jc w:val="both"/>
        <w:rPr>
          <w:rFonts w:ascii="Arial" w:hAnsi="Arial" w:cs="Arial"/>
          <w:sz w:val="20"/>
          <w:szCs w:val="20"/>
          <w:lang w:val="en"/>
        </w:rPr>
      </w:pPr>
      <w:r w:rsidRPr="00275810">
        <w:rPr>
          <w:rFonts w:ascii="Arial" w:hAnsi="Arial" w:cs="Arial"/>
          <w:sz w:val="20"/>
          <w:szCs w:val="20"/>
          <w:lang w:val="en"/>
        </w:rPr>
        <w:t xml:space="preserve">Perineural invasion (PNI) in needle core biopsies has been associated with </w:t>
      </w:r>
      <w:proofErr w:type="spellStart"/>
      <w:r w:rsidRPr="00275810">
        <w:rPr>
          <w:rFonts w:ascii="Arial" w:hAnsi="Arial" w:cs="Arial"/>
          <w:sz w:val="20"/>
          <w:szCs w:val="20"/>
          <w:lang w:val="en"/>
        </w:rPr>
        <w:t>extraprostatic</w:t>
      </w:r>
      <w:proofErr w:type="spellEnd"/>
      <w:r w:rsidRPr="00275810">
        <w:rPr>
          <w:rFonts w:ascii="Arial" w:hAnsi="Arial" w:cs="Arial"/>
          <w:sz w:val="20"/>
          <w:szCs w:val="20"/>
          <w:lang w:val="en"/>
        </w:rPr>
        <w:t xml:space="preserve"> extension in some correlative radical prostatectomy studies. However, the significance of this finding as a predictor of stage and outcome is questionable in multivariate analysis.</w:t>
      </w:r>
      <w:hyperlink w:anchor="8460" w:tooltip="O’Malley KJ, Pound CR, Walsh PC, Epstein JI, Partin AW.  Influence of biopsy perineural invasion on long-term biochemical disease-free survival after radical prostatectomy. Urology. 2002;59:85-90." w:history="1">
        <w:r w:rsidRPr="00275810">
          <w:rPr>
            <w:rStyle w:val="Hyperlink"/>
            <w:rFonts w:ascii="Arial" w:hAnsi="Arial" w:cs="Arial"/>
            <w:sz w:val="20"/>
            <w:szCs w:val="20"/>
            <w:vertAlign w:val="superscript"/>
            <w:lang w:val="en"/>
          </w:rPr>
          <w:t>1,</w:t>
        </w:r>
      </w:hyperlink>
      <w:hyperlink w:anchor="8461" w:tooltip="Bismar TA, Lewis JS, JR, Vollmer RT, Humphrey PA. Multiple measures of carcinoma extent versus perineural invasion in prostate needle biopsy tissue in prediction of pathologic stage in a screening population. Am J Surg Pathol. 2003;27:432-440." w:history="1">
        <w:r w:rsidRPr="00275810">
          <w:rPr>
            <w:rStyle w:val="Hyperlink"/>
            <w:rFonts w:ascii="Arial" w:hAnsi="Arial" w:cs="Arial"/>
            <w:sz w:val="20"/>
            <w:szCs w:val="20"/>
            <w:vertAlign w:val="superscript"/>
            <w:lang w:val="en"/>
          </w:rPr>
          <w:t>2,</w:t>
        </w:r>
      </w:hyperlink>
      <w:hyperlink w:anchor="8462" w:tooltip="Harnden P, Shelley MD, Clements H, et al. The prognostic significance of perineural invasion in prostatic carcinoma biopsies: a systematic review.  Cancer. 2007;109:13-24." w:history="1">
        <w:r w:rsidRPr="00275810">
          <w:rPr>
            <w:rStyle w:val="Hyperlink"/>
            <w:rFonts w:ascii="Arial" w:hAnsi="Arial" w:cs="Arial"/>
            <w:sz w:val="20"/>
            <w:szCs w:val="20"/>
            <w:vertAlign w:val="superscript"/>
            <w:lang w:val="en"/>
          </w:rPr>
          <w:t>3,</w:t>
        </w:r>
      </w:hyperlink>
      <w:hyperlink w:anchor="8463" w:tooltip="Loeb S, Epstein J, Humphreys E, et al. Does perineural invasion on prostate biopsy predict adverse prostatectomy outcomes? BJU Int 2010;105:1510–1513." w:history="1">
        <w:r w:rsidRPr="00275810">
          <w:rPr>
            <w:rStyle w:val="Hyperlink"/>
            <w:rFonts w:ascii="Arial" w:hAnsi="Arial" w:cs="Arial"/>
            <w:sz w:val="20"/>
            <w:szCs w:val="20"/>
            <w:vertAlign w:val="superscript"/>
            <w:lang w:val="en"/>
          </w:rPr>
          <w:t>4,</w:t>
        </w:r>
      </w:hyperlink>
      <w:hyperlink w:anchor="8464" w:tooltip="Paner GP, Magi-Galluzzi C, Amin MB, Srigley JR: Adenocarcinoma of the prostate. In: Amin MB, Grignon DJ, Srigley JR, Eble JN,eds. Urological Pathology. Philadelphia, PA: Lippincott William &amp; Wilkins; 2014:559-673." w:history="1">
        <w:r w:rsidRPr="00275810">
          <w:rPr>
            <w:rStyle w:val="Hyperlink"/>
            <w:rFonts w:ascii="Arial" w:hAnsi="Arial" w:cs="Arial"/>
            <w:sz w:val="20"/>
            <w:szCs w:val="20"/>
            <w:vertAlign w:val="superscript"/>
            <w:lang w:val="en"/>
          </w:rPr>
          <w:t>5</w:t>
        </w:r>
      </w:hyperlink>
      <w:r w:rsidRPr="00275810">
        <w:rPr>
          <w:rFonts w:ascii="Arial" w:hAnsi="Arial" w:cs="Arial"/>
          <w:sz w:val="20"/>
          <w:szCs w:val="20"/>
          <w:lang w:val="en"/>
        </w:rPr>
        <w:t> Presence of perineural invasion may also be reported in TURP specimens.</w:t>
      </w:r>
    </w:p>
    <w:p w14:paraId="34E77B95" w14:textId="77777777" w:rsidR="00275810" w:rsidRDefault="008C0CF6" w:rsidP="00275810">
      <w:pPr>
        <w:spacing w:after="0"/>
        <w:rPr>
          <w:rFonts w:ascii="Arial" w:eastAsia="Times New Roman" w:hAnsi="Arial" w:cs="Arial"/>
          <w:sz w:val="20"/>
          <w:szCs w:val="20"/>
          <w:lang w:val="en"/>
        </w:rPr>
      </w:pPr>
      <w:r w:rsidRPr="00275810">
        <w:rPr>
          <w:rFonts w:ascii="Arial" w:eastAsia="Times New Roman" w:hAnsi="Arial" w:cs="Arial"/>
          <w:sz w:val="20"/>
          <w:szCs w:val="20"/>
          <w:lang w:val="en"/>
        </w:rPr>
        <w:t>References</w:t>
      </w:r>
    </w:p>
    <w:p w14:paraId="76B5280B" w14:textId="77777777" w:rsidR="00275810" w:rsidRDefault="008C0CF6" w:rsidP="00275810">
      <w:pPr>
        <w:pStyle w:val="ListParagraph"/>
        <w:numPr>
          <w:ilvl w:val="0"/>
          <w:numId w:val="12"/>
        </w:numPr>
        <w:spacing w:after="0"/>
        <w:rPr>
          <w:rFonts w:ascii="Arial" w:eastAsia="Times New Roman" w:hAnsi="Arial" w:cs="Arial"/>
          <w:sz w:val="20"/>
          <w:szCs w:val="20"/>
          <w:lang w:val="en"/>
        </w:rPr>
      </w:pPr>
      <w:r w:rsidRPr="00275810">
        <w:rPr>
          <w:rFonts w:ascii="Arial" w:eastAsia="Times New Roman" w:hAnsi="Arial" w:cs="Arial"/>
          <w:sz w:val="20"/>
          <w:szCs w:val="20"/>
          <w:lang w:val="en"/>
        </w:rPr>
        <w:t>O’Malley KJ, Pound CR, Walsh PC, Epstein JI, Partin AW.  Influence of biopsy perineural invasion on long-term biochemical disease-free survival after radical prostatectomy. Urology. 2002;59:85-90.</w:t>
      </w:r>
    </w:p>
    <w:p w14:paraId="5245A8A3" w14:textId="77777777" w:rsidR="00275810" w:rsidRDefault="008C0CF6" w:rsidP="00275810">
      <w:pPr>
        <w:pStyle w:val="ListParagraph"/>
        <w:numPr>
          <w:ilvl w:val="0"/>
          <w:numId w:val="12"/>
        </w:numPr>
        <w:spacing w:after="0"/>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Bismar</w:t>
      </w:r>
      <w:proofErr w:type="spellEnd"/>
      <w:r w:rsidRPr="00275810">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275810">
        <w:rPr>
          <w:rStyle w:val="Emphasis"/>
          <w:rFonts w:ascii="Arial" w:eastAsia="Times New Roman" w:hAnsi="Arial" w:cs="Arial"/>
          <w:sz w:val="20"/>
          <w:szCs w:val="20"/>
          <w:lang w:val="en"/>
        </w:rPr>
        <w:t xml:space="preserve">Am J Surg </w:t>
      </w:r>
      <w:proofErr w:type="spellStart"/>
      <w:r w:rsidRPr="00275810">
        <w:rPr>
          <w:rStyle w:val="Emphasis"/>
          <w:rFonts w:ascii="Arial" w:eastAsia="Times New Roman" w:hAnsi="Arial" w:cs="Arial"/>
          <w:sz w:val="20"/>
          <w:szCs w:val="20"/>
          <w:lang w:val="en"/>
        </w:rPr>
        <w:t>Pathol</w:t>
      </w:r>
      <w:proofErr w:type="spellEnd"/>
      <w:r w:rsidRPr="00275810">
        <w:rPr>
          <w:rFonts w:ascii="Arial" w:eastAsia="Times New Roman" w:hAnsi="Arial" w:cs="Arial"/>
          <w:sz w:val="20"/>
          <w:szCs w:val="20"/>
          <w:lang w:val="en"/>
        </w:rPr>
        <w:t>. 2003;27:432-440.</w:t>
      </w:r>
    </w:p>
    <w:p w14:paraId="0CA9B6A1" w14:textId="77777777" w:rsidR="00275810" w:rsidRDefault="008C0CF6" w:rsidP="00275810">
      <w:pPr>
        <w:pStyle w:val="ListParagraph"/>
        <w:numPr>
          <w:ilvl w:val="0"/>
          <w:numId w:val="12"/>
        </w:numPr>
        <w:spacing w:after="0"/>
        <w:rPr>
          <w:rFonts w:ascii="Arial" w:eastAsia="Times New Roman" w:hAnsi="Arial" w:cs="Arial"/>
          <w:sz w:val="20"/>
          <w:szCs w:val="20"/>
          <w:lang w:val="en"/>
        </w:rPr>
      </w:pPr>
      <w:proofErr w:type="spellStart"/>
      <w:r w:rsidRPr="00275810">
        <w:rPr>
          <w:rFonts w:ascii="Arial" w:eastAsia="Times New Roman" w:hAnsi="Arial" w:cs="Arial"/>
          <w:sz w:val="20"/>
          <w:szCs w:val="20"/>
          <w:lang w:val="en"/>
        </w:rPr>
        <w:t>Harnden</w:t>
      </w:r>
      <w:proofErr w:type="spellEnd"/>
      <w:r w:rsidRPr="00275810">
        <w:rPr>
          <w:rFonts w:ascii="Arial" w:eastAsia="Times New Roman" w:hAnsi="Arial" w:cs="Arial"/>
          <w:sz w:val="20"/>
          <w:szCs w:val="20"/>
          <w:lang w:val="en"/>
        </w:rPr>
        <w:t xml:space="preserve"> P, Shelley MD, Clements H, et al. The prognostic significance of perineural invasion in prostatic carcinoma biopsies: a systematic review.  </w:t>
      </w:r>
      <w:r w:rsidRPr="00275810">
        <w:rPr>
          <w:rStyle w:val="Emphasis"/>
          <w:rFonts w:ascii="Arial" w:eastAsia="Times New Roman" w:hAnsi="Arial" w:cs="Arial"/>
          <w:sz w:val="20"/>
          <w:szCs w:val="20"/>
          <w:lang w:val="en"/>
        </w:rPr>
        <w:t>Cancer.</w:t>
      </w:r>
      <w:r w:rsidRPr="00275810">
        <w:rPr>
          <w:rFonts w:ascii="Arial" w:eastAsia="Times New Roman" w:hAnsi="Arial" w:cs="Arial"/>
          <w:sz w:val="20"/>
          <w:szCs w:val="20"/>
          <w:lang w:val="en"/>
        </w:rPr>
        <w:t> 2007;109:13-24.</w:t>
      </w:r>
    </w:p>
    <w:p w14:paraId="6B5A4F25" w14:textId="77777777" w:rsidR="00275810" w:rsidRDefault="008C0CF6" w:rsidP="00275810">
      <w:pPr>
        <w:pStyle w:val="ListParagraph"/>
        <w:numPr>
          <w:ilvl w:val="0"/>
          <w:numId w:val="12"/>
        </w:numPr>
        <w:spacing w:after="0"/>
        <w:rPr>
          <w:rFonts w:ascii="Arial" w:eastAsia="Times New Roman" w:hAnsi="Arial" w:cs="Arial"/>
          <w:sz w:val="20"/>
          <w:szCs w:val="20"/>
          <w:lang w:val="en"/>
        </w:rPr>
      </w:pPr>
      <w:r w:rsidRPr="00275810">
        <w:rPr>
          <w:rFonts w:ascii="Arial" w:eastAsia="Times New Roman" w:hAnsi="Arial" w:cs="Arial"/>
          <w:sz w:val="20"/>
          <w:szCs w:val="20"/>
          <w:lang w:val="en"/>
        </w:rPr>
        <w:t>Loeb S, Epstein J, Humphreys E, et al. Does perineural invasion on prostate biopsy predict adverse prostatectomy outcomes? BJU Int 2010;105:1510–1513.</w:t>
      </w:r>
    </w:p>
    <w:p w14:paraId="7257679B" w14:textId="59534A68" w:rsidR="00C74D95" w:rsidRPr="00275810" w:rsidRDefault="008C0CF6" w:rsidP="00275810">
      <w:pPr>
        <w:pStyle w:val="ListParagraph"/>
        <w:numPr>
          <w:ilvl w:val="0"/>
          <w:numId w:val="12"/>
        </w:numPr>
        <w:spacing w:after="0"/>
        <w:rPr>
          <w:rFonts w:ascii="Arial" w:eastAsia="Times New Roman" w:hAnsi="Arial" w:cs="Arial"/>
          <w:sz w:val="20"/>
          <w:szCs w:val="20"/>
          <w:lang w:val="en"/>
        </w:rPr>
      </w:pPr>
      <w:r w:rsidRPr="00275810">
        <w:rPr>
          <w:rFonts w:ascii="Arial" w:eastAsia="Times New Roman" w:hAnsi="Arial" w:cs="Arial"/>
          <w:sz w:val="20"/>
          <w:szCs w:val="20"/>
          <w:lang w:val="en"/>
        </w:rPr>
        <w:t>Paner GP, Magi-</w:t>
      </w:r>
      <w:proofErr w:type="spellStart"/>
      <w:r w:rsidRPr="00275810">
        <w:rPr>
          <w:rFonts w:ascii="Arial" w:eastAsia="Times New Roman" w:hAnsi="Arial" w:cs="Arial"/>
          <w:sz w:val="20"/>
          <w:szCs w:val="20"/>
          <w:lang w:val="en"/>
        </w:rPr>
        <w:t>Galluzzi</w:t>
      </w:r>
      <w:proofErr w:type="spellEnd"/>
      <w:r w:rsidRPr="00275810">
        <w:rPr>
          <w:rFonts w:ascii="Arial" w:eastAsia="Times New Roman" w:hAnsi="Arial" w:cs="Arial"/>
          <w:sz w:val="20"/>
          <w:szCs w:val="20"/>
          <w:lang w:val="en"/>
        </w:rPr>
        <w:t xml:space="preserve"> C, Amin MB, Srigley JR: Adenocarcinoma of the prostate. In: Amin MB, </w:t>
      </w:r>
      <w:proofErr w:type="spellStart"/>
      <w:r w:rsidRPr="00275810">
        <w:rPr>
          <w:rFonts w:ascii="Arial" w:eastAsia="Times New Roman" w:hAnsi="Arial" w:cs="Arial"/>
          <w:sz w:val="20"/>
          <w:szCs w:val="20"/>
          <w:lang w:val="en"/>
        </w:rPr>
        <w:t>Grignon</w:t>
      </w:r>
      <w:proofErr w:type="spellEnd"/>
      <w:r w:rsidRPr="00275810">
        <w:rPr>
          <w:rFonts w:ascii="Arial" w:eastAsia="Times New Roman" w:hAnsi="Arial" w:cs="Arial"/>
          <w:sz w:val="20"/>
          <w:szCs w:val="20"/>
          <w:lang w:val="en"/>
        </w:rPr>
        <w:t xml:space="preserve"> DJ, Srigley JR, </w:t>
      </w:r>
      <w:proofErr w:type="spellStart"/>
      <w:r w:rsidRPr="00275810">
        <w:rPr>
          <w:rFonts w:ascii="Arial" w:eastAsia="Times New Roman" w:hAnsi="Arial" w:cs="Arial"/>
          <w:sz w:val="20"/>
          <w:szCs w:val="20"/>
          <w:lang w:val="en"/>
        </w:rPr>
        <w:t>Eble</w:t>
      </w:r>
      <w:proofErr w:type="spellEnd"/>
      <w:r w:rsidRPr="00275810">
        <w:rPr>
          <w:rFonts w:ascii="Arial" w:eastAsia="Times New Roman" w:hAnsi="Arial" w:cs="Arial"/>
          <w:sz w:val="20"/>
          <w:szCs w:val="20"/>
          <w:lang w:val="en"/>
        </w:rPr>
        <w:t xml:space="preserve"> </w:t>
      </w:r>
      <w:proofErr w:type="spellStart"/>
      <w:r w:rsidRPr="00275810">
        <w:rPr>
          <w:rFonts w:ascii="Arial" w:eastAsia="Times New Roman" w:hAnsi="Arial" w:cs="Arial"/>
          <w:sz w:val="20"/>
          <w:szCs w:val="20"/>
          <w:lang w:val="en"/>
        </w:rPr>
        <w:t>JN,eds</w:t>
      </w:r>
      <w:proofErr w:type="spellEnd"/>
      <w:r w:rsidRPr="00275810">
        <w:rPr>
          <w:rFonts w:ascii="Arial" w:eastAsia="Times New Roman" w:hAnsi="Arial" w:cs="Arial"/>
          <w:sz w:val="20"/>
          <w:szCs w:val="20"/>
          <w:lang w:val="en"/>
        </w:rPr>
        <w:t>. </w:t>
      </w:r>
      <w:r w:rsidRPr="00275810">
        <w:rPr>
          <w:rStyle w:val="Emphasis"/>
          <w:rFonts w:ascii="Arial" w:eastAsia="Times New Roman" w:hAnsi="Arial" w:cs="Arial"/>
          <w:sz w:val="20"/>
          <w:szCs w:val="20"/>
          <w:lang w:val="en"/>
        </w:rPr>
        <w:t>Urological Pathology.</w:t>
      </w:r>
      <w:r w:rsidRPr="00275810">
        <w:rPr>
          <w:rFonts w:ascii="Arial" w:eastAsia="Times New Roman" w:hAnsi="Arial" w:cs="Arial"/>
          <w:sz w:val="20"/>
          <w:szCs w:val="20"/>
          <w:lang w:val="en"/>
        </w:rPr>
        <w:t> Philadelphia, PA: Lippincott William &amp; Wilkins; 2014:559-673.</w:t>
      </w:r>
    </w:p>
    <w:sectPr w:rsidR="00C74D95" w:rsidRPr="002758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CB11" w14:textId="77777777" w:rsidR="00C74D95" w:rsidRDefault="008C0CF6">
      <w:pPr>
        <w:spacing w:after="0" w:line="240" w:lineRule="auto"/>
      </w:pPr>
      <w:r>
        <w:separator/>
      </w:r>
    </w:p>
  </w:endnote>
  <w:endnote w:type="continuationSeparator" w:id="0">
    <w:p w14:paraId="015F1219" w14:textId="77777777" w:rsidR="00C74D95" w:rsidRDefault="008C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18C" w14:textId="77777777" w:rsidR="00275810" w:rsidRDefault="0027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4B7" w14:textId="00C5D890" w:rsidR="00E37A42" w:rsidRDefault="008C0CF6">
    <w:pPr>
      <w:pStyle w:val="Footer"/>
      <w:jc w:val="right"/>
    </w:pPr>
    <w:r>
      <w:fldChar w:fldCharType="begin"/>
    </w:r>
    <w:r>
      <w:instrText>PAGE</w:instrText>
    </w:r>
    <w:r>
      <w:fldChar w:fldCharType="separate"/>
    </w:r>
    <w:r w:rsidR="002758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D7B7" w14:textId="77777777" w:rsidR="00D61B7F" w:rsidRDefault="008C0CF6">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B8FB" w14:textId="77777777" w:rsidR="00C74D95" w:rsidRDefault="008C0CF6">
      <w:pPr>
        <w:spacing w:after="0" w:line="240" w:lineRule="auto"/>
      </w:pPr>
      <w:r>
        <w:separator/>
      </w:r>
    </w:p>
  </w:footnote>
  <w:footnote w:type="continuationSeparator" w:id="0">
    <w:p w14:paraId="7758DDEA" w14:textId="77777777" w:rsidR="00C74D95" w:rsidRDefault="008C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9199" w14:textId="77777777" w:rsidR="00275810" w:rsidRDefault="00275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E695" w14:textId="77777777" w:rsidR="00E37A42" w:rsidRDefault="00E37A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50B211C" w14:textId="77777777" w:rsidTr="00776589">
      <w:tc>
        <w:tcPr>
          <w:tcW w:w="1500" w:type="dxa"/>
        </w:tcPr>
        <w:p w14:paraId="6DA89959" w14:textId="77777777" w:rsidR="00776589" w:rsidRDefault="008C0CF6">
          <w:r>
            <w:t>CAP Approved</w:t>
          </w:r>
        </w:p>
      </w:tc>
      <w:tc>
        <w:tcPr>
          <w:tcW w:w="8076" w:type="dxa"/>
        </w:tcPr>
        <w:p w14:paraId="780FE683" w14:textId="64318E10" w:rsidR="00776589" w:rsidRDefault="008C0CF6">
          <w:pPr>
            <w:jc w:val="right"/>
          </w:pPr>
          <w:r>
            <w:t>Prostate.TURP_4.1.0.0.REL_CAPCP</w:t>
          </w:r>
        </w:p>
      </w:tc>
    </w:tr>
  </w:tbl>
  <w:p w14:paraId="6701E9D7" w14:textId="77777777" w:rsidR="00E37A42" w:rsidRDefault="00E37A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7B3" w14:textId="25AA9975" w:rsidR="00E37A42" w:rsidRDefault="008C0CF6">
    <w:r>
      <w:rPr>
        <w:noProof/>
      </w:rPr>
      <w:drawing>
        <wp:inline distT="0" distB="0" distL="0" distR="0" wp14:anchorId="47F3CD7A" wp14:editId="6F1E9743">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B3016">
      <w:rPr>
        <w:noProof/>
      </w:rPr>
      <w:pict w14:anchorId="039DC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B8F"/>
    <w:multiLevelType w:val="multilevel"/>
    <w:tmpl w:val="4406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20B35"/>
    <w:multiLevelType w:val="multilevel"/>
    <w:tmpl w:val="225C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D7D1A"/>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A09A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A4AE8"/>
    <w:multiLevelType w:val="multilevel"/>
    <w:tmpl w:val="D124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C610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23630"/>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866AA"/>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67CBA"/>
    <w:multiLevelType w:val="multilevel"/>
    <w:tmpl w:val="5B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B2287"/>
    <w:multiLevelType w:val="multilevel"/>
    <w:tmpl w:val="95D4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D4C62"/>
    <w:multiLevelType w:val="multilevel"/>
    <w:tmpl w:val="1CD0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92D32"/>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1"/>
  </w:num>
  <w:num w:numId="5">
    <w:abstractNumId w:val="9"/>
  </w:num>
  <w:num w:numId="6">
    <w:abstractNumId w:val="10"/>
  </w:num>
  <w:num w:numId="7">
    <w:abstractNumId w:val="0"/>
  </w:num>
  <w:num w:numId="8">
    <w:abstractNumId w:val="6"/>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7A42"/>
    <w:rsid w:val="000B3016"/>
    <w:rsid w:val="00275810"/>
    <w:rsid w:val="00343F45"/>
    <w:rsid w:val="003F0F97"/>
    <w:rsid w:val="008C0CF6"/>
    <w:rsid w:val="00C74D95"/>
    <w:rsid w:val="00E3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E3F8EC3"/>
  <w15:docId w15:val="{F557D821-E998-4B79-B9CB-30F3A3E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7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3961">
      <w:marLeft w:val="0"/>
      <w:marRight w:val="0"/>
      <w:marTop w:val="0"/>
      <w:marBottom w:val="0"/>
      <w:divBdr>
        <w:top w:val="none" w:sz="0" w:space="0" w:color="auto"/>
        <w:left w:val="none" w:sz="0" w:space="0" w:color="auto"/>
        <w:bottom w:val="none" w:sz="0" w:space="0" w:color="auto"/>
        <w:right w:val="none" w:sz="0" w:space="0" w:color="auto"/>
      </w:divBdr>
      <w:divsChild>
        <w:div w:id="1736902145">
          <w:marLeft w:val="0"/>
          <w:marRight w:val="0"/>
          <w:marTop w:val="0"/>
          <w:marBottom w:val="0"/>
          <w:divBdr>
            <w:top w:val="none" w:sz="0" w:space="0" w:color="auto"/>
            <w:left w:val="none" w:sz="0" w:space="0" w:color="auto"/>
            <w:bottom w:val="none" w:sz="0" w:space="0" w:color="auto"/>
            <w:right w:val="none" w:sz="0" w:space="0" w:color="auto"/>
          </w:divBdr>
        </w:div>
        <w:div w:id="1515728389">
          <w:marLeft w:val="0"/>
          <w:marRight w:val="0"/>
          <w:marTop w:val="0"/>
          <w:marBottom w:val="0"/>
          <w:divBdr>
            <w:top w:val="none" w:sz="0" w:space="0" w:color="auto"/>
            <w:left w:val="none" w:sz="0" w:space="0" w:color="auto"/>
            <w:bottom w:val="none" w:sz="0" w:space="0" w:color="auto"/>
            <w:right w:val="none" w:sz="0" w:space="0" w:color="auto"/>
          </w:divBdr>
        </w:div>
        <w:div w:id="316494390">
          <w:marLeft w:val="0"/>
          <w:marRight w:val="0"/>
          <w:marTop w:val="0"/>
          <w:marBottom w:val="0"/>
          <w:divBdr>
            <w:top w:val="none" w:sz="0" w:space="0" w:color="auto"/>
            <w:left w:val="none" w:sz="0" w:space="0" w:color="auto"/>
            <w:bottom w:val="none" w:sz="0" w:space="0" w:color="auto"/>
            <w:right w:val="none" w:sz="0" w:space="0" w:color="auto"/>
          </w:divBdr>
        </w:div>
        <w:div w:id="159665213">
          <w:marLeft w:val="0"/>
          <w:marRight w:val="0"/>
          <w:marTop w:val="0"/>
          <w:marBottom w:val="0"/>
          <w:divBdr>
            <w:top w:val="none" w:sz="0" w:space="0" w:color="auto"/>
            <w:left w:val="none" w:sz="0" w:space="0" w:color="auto"/>
            <w:bottom w:val="none" w:sz="0" w:space="0" w:color="auto"/>
            <w:right w:val="none" w:sz="0" w:space="0" w:color="auto"/>
          </w:divBdr>
        </w:div>
        <w:div w:id="1396007690">
          <w:marLeft w:val="0"/>
          <w:marRight w:val="0"/>
          <w:marTop w:val="0"/>
          <w:marBottom w:val="0"/>
          <w:divBdr>
            <w:top w:val="none" w:sz="0" w:space="0" w:color="auto"/>
            <w:left w:val="none" w:sz="0" w:space="0" w:color="auto"/>
            <w:bottom w:val="none" w:sz="0" w:space="0" w:color="auto"/>
            <w:right w:val="none" w:sz="0" w:space="0" w:color="auto"/>
          </w:divBdr>
        </w:div>
        <w:div w:id="442313286">
          <w:marLeft w:val="0"/>
          <w:marRight w:val="0"/>
          <w:marTop w:val="0"/>
          <w:marBottom w:val="0"/>
          <w:divBdr>
            <w:top w:val="none" w:sz="0" w:space="0" w:color="auto"/>
            <w:left w:val="none" w:sz="0" w:space="0" w:color="auto"/>
            <w:bottom w:val="none" w:sz="0" w:space="0" w:color="auto"/>
            <w:right w:val="none" w:sz="0" w:space="0" w:color="auto"/>
          </w:divBdr>
        </w:div>
        <w:div w:id="1619021207">
          <w:marLeft w:val="0"/>
          <w:marRight w:val="0"/>
          <w:marTop w:val="0"/>
          <w:marBottom w:val="0"/>
          <w:divBdr>
            <w:top w:val="none" w:sz="0" w:space="0" w:color="auto"/>
            <w:left w:val="none" w:sz="0" w:space="0" w:color="auto"/>
            <w:bottom w:val="none" w:sz="0" w:space="0" w:color="auto"/>
            <w:right w:val="none" w:sz="0" w:space="0" w:color="auto"/>
          </w:divBdr>
        </w:div>
      </w:divsChild>
    </w:div>
    <w:div w:id="129652759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5036</Words>
  <Characters>30776</Characters>
  <Application>Microsoft Office Word</Application>
  <DocSecurity>0</DocSecurity>
  <Lines>715</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5</cp:revision>
  <dcterms:created xsi:type="dcterms:W3CDTF">2021-06-17T21:27:00Z</dcterms:created>
  <dcterms:modified xsi:type="dcterms:W3CDTF">2021-06-22T21:29:00Z</dcterms:modified>
</cp:coreProperties>
</file>