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DF29" w14:textId="77777777" w:rsidR="004D5CC3" w:rsidRPr="00D5675D" w:rsidRDefault="004D5CC3" w:rsidP="004D5CC3">
      <w:pPr>
        <w:pStyle w:val="Head2"/>
        <w:rPr>
          <w:rFonts w:cs="Arial"/>
          <w:kern w:val="18"/>
          <w:sz w:val="28"/>
          <w:szCs w:val="28"/>
        </w:rPr>
      </w:pPr>
      <w:bookmarkStart w:id="0" w:name="_GoBack"/>
      <w:bookmarkEnd w:id="0"/>
      <w:r w:rsidRPr="00124B9A">
        <w:rPr>
          <w:rFonts w:cs="Arial"/>
          <w:sz w:val="28"/>
          <w:szCs w:val="28"/>
        </w:rPr>
        <w:t>Template for Reporting Results of Biomarker T</w:t>
      </w:r>
      <w:r w:rsidRPr="00D5675D">
        <w:rPr>
          <w:rFonts w:cs="Arial"/>
          <w:sz w:val="28"/>
          <w:szCs w:val="28"/>
        </w:rPr>
        <w:t xml:space="preserve">esting of Specimens From Patients With </w:t>
      </w:r>
      <w:r w:rsidRPr="00D5675D">
        <w:rPr>
          <w:rFonts w:cs="Arial"/>
          <w:kern w:val="18"/>
          <w:sz w:val="28"/>
          <w:szCs w:val="28"/>
        </w:rPr>
        <w:t xml:space="preserve">Chronic Lymphocytic Leukemia/Small Lymphocytic Lymphoma </w:t>
      </w:r>
    </w:p>
    <w:p w14:paraId="186E02C9" w14:textId="77777777" w:rsidR="004D5CC3" w:rsidRPr="00124B9A" w:rsidRDefault="004D5CC3" w:rsidP="004D5CC3">
      <w:pPr>
        <w:rPr>
          <w:rFonts w:cs="Arial"/>
          <w:kern w:val="18"/>
        </w:rPr>
      </w:pPr>
    </w:p>
    <w:p w14:paraId="4F6D9928" w14:textId="576585E2" w:rsidR="004D5CC3" w:rsidRPr="00124B9A" w:rsidRDefault="004D5CC3" w:rsidP="004D5CC3">
      <w:pPr>
        <w:rPr>
          <w:rFonts w:cs="Arial"/>
          <w:kern w:val="18"/>
        </w:rPr>
      </w:pPr>
    </w:p>
    <w:tbl>
      <w:tblPr>
        <w:tblW w:w="11178" w:type="dxa"/>
        <w:tblLook w:val="04A0" w:firstRow="1" w:lastRow="0" w:firstColumn="1" w:lastColumn="0" w:noHBand="0" w:noVBand="1"/>
      </w:tblPr>
      <w:tblGrid>
        <w:gridCol w:w="4428"/>
        <w:gridCol w:w="6750"/>
      </w:tblGrid>
      <w:tr w:rsidR="000C7E7C" w:rsidRPr="00132B69" w14:paraId="4D781A9E" w14:textId="77777777" w:rsidTr="00977EF0">
        <w:tc>
          <w:tcPr>
            <w:tcW w:w="4428" w:type="dxa"/>
            <w:shd w:val="clear" w:color="auto" w:fill="auto"/>
          </w:tcPr>
          <w:p w14:paraId="23C4299B" w14:textId="214257E8" w:rsidR="000C7E7C" w:rsidRPr="00132B69" w:rsidRDefault="000C7E7C" w:rsidP="000C7E7C">
            <w:pPr>
              <w:rPr>
                <w:rFonts w:eastAsia="Cambria" w:cs="Arial"/>
                <w:b/>
                <w:lang w:eastAsia="es-ES_tradnl"/>
              </w:rPr>
            </w:pPr>
            <w:r w:rsidRPr="00132B69">
              <w:rPr>
                <w:rFonts w:eastAsia="Cambria" w:cs="Arial"/>
                <w:b/>
                <w:lang w:eastAsia="es-ES_tradnl"/>
              </w:rPr>
              <w:t xml:space="preserve">Version: </w:t>
            </w:r>
            <w:r>
              <w:rPr>
                <w:rFonts w:cs="Arial"/>
                <w:kern w:val="18"/>
              </w:rPr>
              <w:t>CLL</w:t>
            </w:r>
            <w:r w:rsidRPr="00DD2053">
              <w:rPr>
                <w:rFonts w:cs="Arial"/>
                <w:kern w:val="18"/>
              </w:rPr>
              <w:t>Biomarkers 1.0.0.</w:t>
            </w:r>
            <w:r>
              <w:rPr>
                <w:rFonts w:cs="Arial"/>
                <w:kern w:val="18"/>
              </w:rPr>
              <w:t>2</w:t>
            </w:r>
          </w:p>
        </w:tc>
        <w:tc>
          <w:tcPr>
            <w:tcW w:w="6750" w:type="dxa"/>
            <w:shd w:val="clear" w:color="auto" w:fill="auto"/>
          </w:tcPr>
          <w:p w14:paraId="377CE55E" w14:textId="0774AD60" w:rsidR="000C7E7C" w:rsidRPr="00132B69" w:rsidRDefault="000C7E7C" w:rsidP="000C7E7C">
            <w:pPr>
              <w:keepNext/>
              <w:tabs>
                <w:tab w:val="left" w:pos="360"/>
              </w:tabs>
              <w:outlineLvl w:val="1"/>
              <w:rPr>
                <w:rFonts w:eastAsia="Cambria" w:cs="Arial"/>
                <w:b/>
                <w:lang w:eastAsia="es-ES_tradnl"/>
              </w:rPr>
            </w:pPr>
            <w:r w:rsidRPr="00132B69">
              <w:rPr>
                <w:rFonts w:eastAsia="Cambria" w:cs="Arial"/>
                <w:b/>
                <w:lang w:eastAsia="es-ES_tradnl"/>
              </w:rPr>
              <w:t xml:space="preserve">Protocol Posting Date: </w:t>
            </w:r>
            <w:r w:rsidRPr="00132B69">
              <w:rPr>
                <w:rFonts w:eastAsia="Cambria" w:cs="Arial"/>
                <w:lang w:eastAsia="es-ES_tradnl"/>
              </w:rPr>
              <w:t>J</w:t>
            </w:r>
            <w:r>
              <w:rPr>
                <w:rFonts w:eastAsia="Cambria" w:cs="Arial"/>
                <w:lang w:eastAsia="es-ES_tradnl"/>
              </w:rPr>
              <w:t>une 2017</w:t>
            </w:r>
          </w:p>
        </w:tc>
      </w:tr>
    </w:tbl>
    <w:p w14:paraId="3A997FF4" w14:textId="77777777" w:rsidR="004D5CC3" w:rsidRDefault="004D5CC3" w:rsidP="004D5CC3">
      <w:pPr>
        <w:rPr>
          <w:rFonts w:cs="Arial"/>
          <w:b/>
          <w:kern w:val="18"/>
        </w:rPr>
      </w:pPr>
    </w:p>
    <w:p w14:paraId="517EB734" w14:textId="77777777" w:rsidR="000C7E7C" w:rsidRPr="000C7E7C" w:rsidRDefault="000C7E7C" w:rsidP="000C7E7C">
      <w:pPr>
        <w:keepNext/>
        <w:tabs>
          <w:tab w:val="left" w:pos="360"/>
        </w:tabs>
        <w:outlineLvl w:val="1"/>
        <w:rPr>
          <w:rFonts w:eastAsia="Calibri" w:cs="Arial"/>
          <w:b/>
          <w:szCs w:val="20"/>
        </w:rPr>
      </w:pPr>
      <w:r w:rsidRPr="000C7E7C">
        <w:rPr>
          <w:rFonts w:eastAsia="Calibri" w:cs="Arial"/>
          <w:b/>
          <w:szCs w:val="20"/>
        </w:rPr>
        <w:t xml:space="preserve">This biomarker template is NOT required </w:t>
      </w:r>
      <w:r w:rsidRPr="000C7E7C">
        <w:rPr>
          <w:rFonts w:eastAsia="Calibri" w:cs="Arial"/>
          <w:b/>
          <w:color w:val="000000"/>
          <w:szCs w:val="20"/>
        </w:rPr>
        <w:t xml:space="preserve">for accreditation purposes </w:t>
      </w:r>
    </w:p>
    <w:p w14:paraId="59C83871" w14:textId="77777777" w:rsidR="000C7E7C" w:rsidRDefault="000C7E7C" w:rsidP="004D5CC3">
      <w:pPr>
        <w:rPr>
          <w:rFonts w:cs="Arial"/>
          <w:b/>
          <w:kern w:val="18"/>
        </w:rPr>
      </w:pPr>
    </w:p>
    <w:p w14:paraId="712A374A" w14:textId="77777777" w:rsidR="000C7E7C" w:rsidRPr="00124B9A" w:rsidRDefault="000C7E7C" w:rsidP="004D5CC3">
      <w:pPr>
        <w:rPr>
          <w:rFonts w:cs="Arial"/>
          <w:b/>
          <w:kern w:val="18"/>
        </w:rPr>
      </w:pPr>
    </w:p>
    <w:p w14:paraId="2DCE871D" w14:textId="77777777" w:rsidR="004D5CC3" w:rsidRPr="00124B9A" w:rsidRDefault="004D5CC3" w:rsidP="004D5CC3">
      <w:pPr>
        <w:rPr>
          <w:rFonts w:cs="Arial"/>
          <w:b/>
          <w:kern w:val="18"/>
        </w:rPr>
      </w:pPr>
      <w:r w:rsidRPr="00124B9A">
        <w:rPr>
          <w:rFonts w:cs="Arial"/>
          <w:b/>
          <w:kern w:val="18"/>
        </w:rPr>
        <w:t>Authors</w:t>
      </w:r>
    </w:p>
    <w:p w14:paraId="4998C591" w14:textId="03E4FFC2" w:rsidR="004D5CC3" w:rsidRDefault="00B032D6" w:rsidP="004D5CC3">
      <w:pPr>
        <w:rPr>
          <w:rFonts w:cs="Arial"/>
          <w:kern w:val="18"/>
        </w:rPr>
      </w:pPr>
      <w:r w:rsidRPr="00124B9A">
        <w:rPr>
          <w:rFonts w:cs="Arial"/>
          <w:kern w:val="18"/>
        </w:rPr>
        <w:t>Eric Duncavage, MD</w:t>
      </w:r>
      <w:r w:rsidR="00B63264">
        <w:rPr>
          <w:rFonts w:cs="Arial"/>
          <w:kern w:val="18"/>
        </w:rPr>
        <w:t xml:space="preserve">*; </w:t>
      </w:r>
      <w:r w:rsidRPr="00124B9A">
        <w:rPr>
          <w:rFonts w:cs="Arial"/>
          <w:kern w:val="18"/>
          <w:szCs w:val="20"/>
        </w:rPr>
        <w:t>Ranjana H</w:t>
      </w:r>
      <w:r w:rsidR="00DF1D42" w:rsidRPr="00124B9A">
        <w:rPr>
          <w:rFonts w:cs="Arial"/>
          <w:kern w:val="18"/>
          <w:szCs w:val="20"/>
        </w:rPr>
        <w:t>.</w:t>
      </w:r>
      <w:r w:rsidRPr="00124B9A">
        <w:rPr>
          <w:rFonts w:cs="Arial"/>
          <w:kern w:val="18"/>
          <w:szCs w:val="20"/>
        </w:rPr>
        <w:t xml:space="preserve"> Advani, MD</w:t>
      </w:r>
      <w:r w:rsidR="00B63264">
        <w:rPr>
          <w:rFonts w:cs="Arial"/>
          <w:kern w:val="18"/>
          <w:szCs w:val="20"/>
        </w:rPr>
        <w:t xml:space="preserve">; </w:t>
      </w:r>
      <w:r w:rsidRPr="00124B9A">
        <w:rPr>
          <w:rFonts w:cs="Arial"/>
          <w:kern w:val="18"/>
        </w:rPr>
        <w:t>Steven Agosti, MD</w:t>
      </w:r>
      <w:r w:rsidR="00B63264">
        <w:rPr>
          <w:rFonts w:cs="Arial"/>
          <w:kern w:val="18"/>
        </w:rPr>
        <w:t xml:space="preserve">; </w:t>
      </w:r>
      <w:r w:rsidRPr="00124B9A">
        <w:rPr>
          <w:rFonts w:cs="Arial"/>
          <w:kern w:val="18"/>
          <w:szCs w:val="20"/>
        </w:rPr>
        <w:t>Randa Alsabeh, MD</w:t>
      </w:r>
      <w:r w:rsidR="00B63264">
        <w:rPr>
          <w:rFonts w:cs="Arial"/>
          <w:kern w:val="18"/>
          <w:szCs w:val="20"/>
        </w:rPr>
        <w:t xml:space="preserve">; </w:t>
      </w:r>
      <w:r w:rsidRPr="00124B9A">
        <w:rPr>
          <w:rFonts w:cs="Arial"/>
          <w:kern w:val="18"/>
        </w:rPr>
        <w:t>Philip Foulis, MD</w:t>
      </w:r>
      <w:r w:rsidR="00B63264">
        <w:rPr>
          <w:rFonts w:cs="Arial"/>
          <w:kern w:val="18"/>
        </w:rPr>
        <w:t>; C</w:t>
      </w:r>
      <w:r w:rsidRPr="00124B9A">
        <w:rPr>
          <w:rFonts w:cs="Arial"/>
          <w:kern w:val="18"/>
          <w:szCs w:val="20"/>
        </w:rPr>
        <w:t>hristine Gibson, CTR</w:t>
      </w:r>
      <w:r w:rsidR="00B63264">
        <w:rPr>
          <w:rFonts w:cs="Arial"/>
          <w:kern w:val="18"/>
          <w:szCs w:val="20"/>
        </w:rPr>
        <w:t xml:space="preserve">; </w:t>
      </w:r>
      <w:r w:rsidR="00B63264">
        <w:rPr>
          <w:rFonts w:cs="Arial"/>
          <w:kern w:val="18"/>
        </w:rPr>
        <w:t xml:space="preserve">Loveleen Kang, MD; </w:t>
      </w:r>
      <w:r w:rsidRPr="00124B9A">
        <w:rPr>
          <w:rFonts w:cs="Arial"/>
          <w:szCs w:val="20"/>
        </w:rPr>
        <w:t>Joseph D Khoury, MD</w:t>
      </w:r>
      <w:r w:rsidR="00B63264">
        <w:rPr>
          <w:rFonts w:cs="Arial"/>
          <w:szCs w:val="20"/>
        </w:rPr>
        <w:t xml:space="preserve">; </w:t>
      </w:r>
      <w:r w:rsidRPr="00124B9A">
        <w:rPr>
          <w:rFonts w:cs="Arial"/>
          <w:kern w:val="18"/>
        </w:rPr>
        <w:t>L</w:t>
      </w:r>
      <w:r w:rsidR="00DF1D42" w:rsidRPr="00124B9A">
        <w:rPr>
          <w:rFonts w:cs="Arial"/>
          <w:kern w:val="18"/>
        </w:rPr>
        <w:t>.</w:t>
      </w:r>
      <w:r w:rsidRPr="00124B9A">
        <w:rPr>
          <w:rFonts w:cs="Arial"/>
          <w:kern w:val="18"/>
        </w:rPr>
        <w:t xml:space="preserve"> Jeffrey Medeiros, MD</w:t>
      </w:r>
      <w:r w:rsidR="00B63264">
        <w:rPr>
          <w:rFonts w:cs="Arial"/>
          <w:kern w:val="18"/>
        </w:rPr>
        <w:t xml:space="preserve">; </w:t>
      </w:r>
      <w:r w:rsidRPr="00124B9A">
        <w:rPr>
          <w:rFonts w:cs="Arial"/>
          <w:kern w:val="18"/>
        </w:rPr>
        <w:t>Robert S</w:t>
      </w:r>
      <w:r w:rsidR="00DF1D42" w:rsidRPr="00124B9A">
        <w:rPr>
          <w:rFonts w:cs="Arial"/>
          <w:kern w:val="18"/>
        </w:rPr>
        <w:t>.</w:t>
      </w:r>
      <w:r w:rsidRPr="00124B9A">
        <w:rPr>
          <w:rFonts w:cs="Arial"/>
          <w:kern w:val="18"/>
        </w:rPr>
        <w:t xml:space="preserve"> Ohgami, MD, PhD</w:t>
      </w:r>
      <w:r w:rsidR="00B63264">
        <w:rPr>
          <w:rFonts w:cs="Arial"/>
          <w:kern w:val="18"/>
        </w:rPr>
        <w:t xml:space="preserve">; </w:t>
      </w:r>
      <w:r w:rsidRPr="00124B9A">
        <w:rPr>
          <w:rFonts w:cs="Arial"/>
          <w:kern w:val="18"/>
          <w:szCs w:val="20"/>
        </w:rPr>
        <w:t>Dennis P</w:t>
      </w:r>
      <w:r w:rsidR="00DF1D42" w:rsidRPr="00124B9A">
        <w:rPr>
          <w:rFonts w:cs="Arial"/>
          <w:kern w:val="18"/>
          <w:szCs w:val="20"/>
        </w:rPr>
        <w:t>.</w:t>
      </w:r>
      <w:r w:rsidRPr="00124B9A">
        <w:rPr>
          <w:rFonts w:cs="Arial"/>
          <w:kern w:val="18"/>
          <w:szCs w:val="20"/>
        </w:rPr>
        <w:t xml:space="preserve"> O'Malley, MD</w:t>
      </w:r>
      <w:r w:rsidR="00B63264">
        <w:rPr>
          <w:rFonts w:cs="Arial"/>
          <w:kern w:val="18"/>
          <w:szCs w:val="20"/>
        </w:rPr>
        <w:t xml:space="preserve">; </w:t>
      </w:r>
      <w:r w:rsidRPr="00124B9A">
        <w:rPr>
          <w:rFonts w:cs="Arial"/>
          <w:kern w:val="18"/>
          <w:szCs w:val="20"/>
        </w:rPr>
        <w:t>Keyur P</w:t>
      </w:r>
      <w:r w:rsidR="00DF1D42" w:rsidRPr="00124B9A">
        <w:rPr>
          <w:rFonts w:cs="Arial"/>
          <w:kern w:val="18"/>
          <w:szCs w:val="20"/>
        </w:rPr>
        <w:t>.</w:t>
      </w:r>
      <w:r w:rsidRPr="00124B9A">
        <w:rPr>
          <w:rFonts w:cs="Arial"/>
          <w:kern w:val="18"/>
          <w:szCs w:val="20"/>
        </w:rPr>
        <w:t xml:space="preserve"> Patel, MD, PhD</w:t>
      </w:r>
      <w:r w:rsidR="00B63264">
        <w:rPr>
          <w:rFonts w:cs="Arial"/>
          <w:kern w:val="18"/>
          <w:szCs w:val="20"/>
        </w:rPr>
        <w:t xml:space="preserve">; </w:t>
      </w:r>
      <w:r w:rsidR="004D5CC3" w:rsidRPr="00124B9A">
        <w:rPr>
          <w:rFonts w:cs="Arial"/>
          <w:kern w:val="18"/>
        </w:rPr>
        <w:t>Carla Wilson, MD, PhD</w:t>
      </w:r>
    </w:p>
    <w:p w14:paraId="03346CA1" w14:textId="77777777" w:rsidR="00B63264" w:rsidRPr="00124B9A" w:rsidRDefault="00B63264" w:rsidP="004D5CC3">
      <w:pPr>
        <w:rPr>
          <w:rFonts w:cs="Arial"/>
          <w:kern w:val="18"/>
        </w:rPr>
      </w:pPr>
    </w:p>
    <w:p w14:paraId="0F1EE0D8" w14:textId="77777777" w:rsidR="00B63264" w:rsidRPr="00DD2053" w:rsidRDefault="00B63264" w:rsidP="00B63264">
      <w:pPr>
        <w:rPr>
          <w:rFonts w:cs="Arial"/>
          <w:kern w:val="18"/>
        </w:rPr>
      </w:pPr>
      <w:r w:rsidRPr="00132B69">
        <w:rPr>
          <w:rFonts w:eastAsia="Calibri" w:cs="Arial"/>
          <w:kern w:val="18"/>
        </w:rPr>
        <w:t xml:space="preserve">With guidance from the </w:t>
      </w:r>
      <w:r>
        <w:rPr>
          <w:rFonts w:eastAsia="Calibri" w:cs="Arial"/>
          <w:kern w:val="18"/>
        </w:rPr>
        <w:t xml:space="preserve">CAP </w:t>
      </w:r>
      <w:r w:rsidRPr="00DD2053">
        <w:rPr>
          <w:rFonts w:cs="Arial"/>
          <w:kern w:val="18"/>
        </w:rPr>
        <w:t>Cancer Biomarker Reporting Committee</w:t>
      </w:r>
    </w:p>
    <w:p w14:paraId="2EA481AE" w14:textId="77777777" w:rsidR="00B63264" w:rsidRPr="00132B69" w:rsidRDefault="00B63264" w:rsidP="00B63264">
      <w:pPr>
        <w:spacing w:before="60"/>
        <w:rPr>
          <w:rFonts w:eastAsia="Calibri" w:cs="Arial"/>
          <w:i/>
          <w:kern w:val="18"/>
          <w:sz w:val="18"/>
          <w:szCs w:val="18"/>
        </w:rPr>
      </w:pPr>
      <w:r w:rsidRPr="00132B69">
        <w:rPr>
          <w:rFonts w:eastAsia="Calibri" w:cs="Arial"/>
          <w:i/>
          <w:kern w:val="18"/>
          <w:sz w:val="18"/>
          <w:szCs w:val="18"/>
        </w:rPr>
        <w:t xml:space="preserve">* Denotes primary author. </w:t>
      </w:r>
      <w:r w:rsidRPr="00132B69">
        <w:rPr>
          <w:rFonts w:eastAsia="Calibri" w:cs="Arial"/>
          <w:i/>
          <w:kern w:val="20"/>
          <w:sz w:val="18"/>
          <w:szCs w:val="18"/>
        </w:rPr>
        <w:t>A</w:t>
      </w:r>
      <w:r w:rsidRPr="00132B69">
        <w:rPr>
          <w:rFonts w:eastAsia="Calibri" w:cs="Arial"/>
          <w:i/>
          <w:kern w:val="18"/>
          <w:sz w:val="18"/>
          <w:szCs w:val="18"/>
        </w:rPr>
        <w:t>ll other contributing authors are listed alphabetically.</w:t>
      </w:r>
    </w:p>
    <w:p w14:paraId="2F784FFC" w14:textId="77777777" w:rsidR="00B63264" w:rsidRPr="0062480A" w:rsidRDefault="00B63264" w:rsidP="004D5CC3">
      <w:pPr>
        <w:pStyle w:val="Head2"/>
        <w:spacing w:after="0"/>
        <w:rPr>
          <w:rFonts w:cs="Arial"/>
          <w:kern w:val="18"/>
          <w:sz w:val="20"/>
        </w:rPr>
      </w:pPr>
    </w:p>
    <w:p w14:paraId="25BC1C9A" w14:textId="77777777" w:rsidR="00B63264" w:rsidRPr="0062480A" w:rsidRDefault="00B63264" w:rsidP="004D5CC3">
      <w:pPr>
        <w:pStyle w:val="Head2"/>
        <w:spacing w:after="0"/>
        <w:rPr>
          <w:rFonts w:cs="Arial"/>
          <w:kern w:val="18"/>
          <w:sz w:val="20"/>
        </w:rPr>
      </w:pPr>
    </w:p>
    <w:p w14:paraId="3DBCD2CF" w14:textId="77777777" w:rsidR="004D5CC3" w:rsidRPr="00124B9A" w:rsidRDefault="004D5CC3" w:rsidP="004D5CC3">
      <w:pPr>
        <w:rPr>
          <w:rFonts w:cs="Arial"/>
          <w:b/>
          <w:kern w:val="18"/>
        </w:rPr>
      </w:pPr>
    </w:p>
    <w:p w14:paraId="46783718" w14:textId="77777777" w:rsidR="004D5CC3" w:rsidRPr="00124B9A" w:rsidRDefault="004D5CC3" w:rsidP="004D5CC3">
      <w:pPr>
        <w:tabs>
          <w:tab w:val="left" w:pos="0"/>
        </w:tabs>
        <w:rPr>
          <w:rFonts w:cs="Arial"/>
          <w:b/>
          <w:kern w:val="18"/>
        </w:rPr>
      </w:pPr>
      <w:r w:rsidRPr="00124B9A">
        <w:rPr>
          <w:rFonts w:cs="Arial"/>
          <w:b/>
          <w:kern w:val="18"/>
        </w:rPr>
        <w:t>Summary of Changes</w:t>
      </w:r>
    </w:p>
    <w:p w14:paraId="6963B83C" w14:textId="77777777" w:rsidR="00D8171C" w:rsidRDefault="00D8171C" w:rsidP="00124B9A"/>
    <w:p w14:paraId="489182E3" w14:textId="5678247C" w:rsidR="00EB1DB3" w:rsidRDefault="00EB1DB3" w:rsidP="00124B9A">
      <w:r>
        <w:t xml:space="preserve">Added </w:t>
      </w:r>
      <w:r w:rsidR="00D8171C">
        <w:t>note</w:t>
      </w:r>
      <w:r>
        <w:t>:</w:t>
      </w:r>
    </w:p>
    <w:p w14:paraId="3A16C52E" w14:textId="77777777" w:rsidR="00847B5D" w:rsidRDefault="00847B5D" w:rsidP="00124B9A"/>
    <w:p w14:paraId="639F0EE0" w14:textId="0725D8FB" w:rsidR="00CD27C0" w:rsidRPr="00D5675D" w:rsidRDefault="00D5675D" w:rsidP="00EB1DB3">
      <w:pPr>
        <w:rPr>
          <w:rFonts w:cs="Arial"/>
          <w:i/>
        </w:rPr>
      </w:pPr>
      <w:r w:rsidRPr="00D5675D">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4608EF14" w14:textId="77777777" w:rsidR="004D5CC3" w:rsidRPr="00124B9A" w:rsidRDefault="004D5CC3" w:rsidP="00124B9A"/>
    <w:p w14:paraId="5FC8B698" w14:textId="77777777" w:rsidR="004D5CC3" w:rsidRPr="00124B9A" w:rsidRDefault="004D5CC3" w:rsidP="00124B9A">
      <w:pPr>
        <w:sectPr w:rsidR="004D5CC3" w:rsidRPr="00124B9A" w:rsidSect="003735C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893" w:footer="720" w:gutter="0"/>
          <w:cols w:space="720"/>
          <w:titlePg/>
          <w:docGrid w:linePitch="360"/>
        </w:sectPr>
      </w:pPr>
    </w:p>
    <w:p w14:paraId="3211C760" w14:textId="77777777" w:rsidR="004D5CC3" w:rsidRPr="00124B9A" w:rsidRDefault="004D5CC3" w:rsidP="004D5CC3">
      <w:pPr>
        <w:pStyle w:val="Head2"/>
        <w:rPr>
          <w:rFonts w:cs="Arial"/>
          <w:kern w:val="18"/>
        </w:rPr>
      </w:pPr>
      <w:r w:rsidRPr="00124B9A">
        <w:rPr>
          <w:rFonts w:cs="Arial"/>
          <w:kern w:val="18"/>
        </w:rPr>
        <w:lastRenderedPageBreak/>
        <w:t>Chronic Lymphocytic Leukemia Biomarker Reporting Template</w:t>
      </w:r>
    </w:p>
    <w:p w14:paraId="6F1A85C3" w14:textId="77777777" w:rsidR="004D5CC3" w:rsidRPr="00124B9A" w:rsidRDefault="004D5CC3" w:rsidP="004D5CC3">
      <w:pPr>
        <w:rPr>
          <w:rFonts w:cs="Arial"/>
          <w:kern w:val="18"/>
        </w:rPr>
      </w:pPr>
    </w:p>
    <w:p w14:paraId="678A8C83" w14:textId="535CF995" w:rsidR="004D5CC3" w:rsidRPr="00124B9A" w:rsidRDefault="004D5CC3" w:rsidP="004D5CC3">
      <w:pPr>
        <w:rPr>
          <w:rFonts w:cs="Arial"/>
          <w:kern w:val="18"/>
        </w:rPr>
      </w:pPr>
      <w:r w:rsidRPr="00124B9A">
        <w:rPr>
          <w:rFonts w:cs="Arial"/>
          <w:kern w:val="18"/>
        </w:rPr>
        <w:t xml:space="preserve">Template posting date: </w:t>
      </w:r>
      <w:r w:rsidR="00847B5D">
        <w:rPr>
          <w:rFonts w:cs="Arial"/>
          <w:kern w:val="18"/>
        </w:rPr>
        <w:t>June 2017</w:t>
      </w:r>
    </w:p>
    <w:p w14:paraId="493D7566" w14:textId="77777777" w:rsidR="004D5CC3" w:rsidRPr="00124B9A" w:rsidRDefault="004D5CC3" w:rsidP="004D5CC3">
      <w:pPr>
        <w:rPr>
          <w:rFonts w:cs="Arial"/>
          <w:kern w:val="18"/>
        </w:rPr>
      </w:pPr>
    </w:p>
    <w:p w14:paraId="55CDB4E7" w14:textId="77777777" w:rsidR="004D5CC3" w:rsidRPr="00124B9A" w:rsidRDefault="004D5CC3" w:rsidP="004D5CC3">
      <w:pPr>
        <w:rPr>
          <w:rFonts w:cs="Arial"/>
          <w:kern w:val="18"/>
        </w:rPr>
      </w:pPr>
    </w:p>
    <w:p w14:paraId="4FA1DC81" w14:textId="5EF61CF0" w:rsidR="004D5CC3" w:rsidRPr="00124B9A" w:rsidRDefault="004D5CC3" w:rsidP="004D5CC3">
      <w:pPr>
        <w:pBdr>
          <w:top w:val="single" w:sz="4" w:space="1" w:color="auto"/>
          <w:left w:val="single" w:sz="4" w:space="4" w:color="auto"/>
          <w:bottom w:val="single" w:sz="4" w:space="1" w:color="auto"/>
          <w:right w:val="single" w:sz="4" w:space="4" w:color="auto"/>
        </w:pBdr>
        <w:ind w:left="90"/>
        <w:rPr>
          <w:rFonts w:cs="Arial"/>
          <w:kern w:val="18"/>
          <w:szCs w:val="20"/>
        </w:rPr>
      </w:pPr>
      <w:r w:rsidRPr="00124B9A">
        <w:rPr>
          <w:rFonts w:cs="Arial"/>
          <w:szCs w:val="20"/>
        </w:rPr>
        <w:t>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w:t>
      </w:r>
      <w:r w:rsidR="00847B5D">
        <w:rPr>
          <w:rFonts w:cs="Arial"/>
          <w:szCs w:val="20"/>
        </w:rPr>
        <w:t xml:space="preserve"> </w:t>
      </w:r>
      <w:r w:rsidR="00847B5D" w:rsidRPr="002A50F0">
        <w:rPr>
          <w:rFonts w:cs="Arial"/>
          <w:b/>
        </w:rPr>
        <w:t>This template is not required for accreditation purposes</w:t>
      </w:r>
      <w:r w:rsidR="00847B5D">
        <w:rPr>
          <w:rFonts w:cs="Arial"/>
          <w:b/>
        </w:rPr>
        <w:t>.</w:t>
      </w:r>
    </w:p>
    <w:p w14:paraId="0F9531DC" w14:textId="77777777" w:rsidR="004D5CC3" w:rsidRPr="00124B9A" w:rsidRDefault="004D5CC3" w:rsidP="004D5CC3">
      <w:pPr>
        <w:rPr>
          <w:rFonts w:cs="Arial"/>
          <w:b/>
          <w:kern w:val="18"/>
          <w:sz w:val="22"/>
          <w:szCs w:val="22"/>
        </w:rPr>
      </w:pPr>
    </w:p>
    <w:p w14:paraId="69A67519" w14:textId="77777777" w:rsidR="004D5CC3" w:rsidRPr="00124B9A" w:rsidRDefault="004D5CC3" w:rsidP="004D5CC3">
      <w:pPr>
        <w:rPr>
          <w:rFonts w:cs="Arial"/>
          <w:b/>
          <w:kern w:val="18"/>
          <w:szCs w:val="20"/>
        </w:rPr>
      </w:pPr>
    </w:p>
    <w:p w14:paraId="31E7386B" w14:textId="77777777" w:rsidR="004D5CC3" w:rsidRPr="00124B9A" w:rsidRDefault="004D5CC3" w:rsidP="004D5CC3">
      <w:pPr>
        <w:rPr>
          <w:rFonts w:cs="Arial"/>
          <w:b/>
          <w:kern w:val="18"/>
          <w:szCs w:val="20"/>
        </w:rPr>
      </w:pPr>
      <w:r w:rsidRPr="00124B9A">
        <w:rPr>
          <w:rFonts w:cs="Arial"/>
          <w:b/>
          <w:kern w:val="18"/>
          <w:szCs w:val="20"/>
        </w:rPr>
        <w:t>CHRONIC LYMPHOCYTIC LEUKEMIA/SMALL LYMPHOCYTIC LYMPHOMA (CLL)</w:t>
      </w:r>
    </w:p>
    <w:p w14:paraId="0E6C2FC6" w14:textId="77777777" w:rsidR="004D5CC3" w:rsidRPr="00124B9A" w:rsidRDefault="004D5CC3" w:rsidP="004D5CC3">
      <w:pPr>
        <w:rPr>
          <w:rFonts w:cs="Arial"/>
          <w:b/>
          <w:szCs w:val="20"/>
        </w:rPr>
      </w:pPr>
    </w:p>
    <w:p w14:paraId="67717CAB" w14:textId="77777777" w:rsidR="006A27DD" w:rsidRPr="00124B9A" w:rsidRDefault="006A27DD" w:rsidP="006A27DD">
      <w:pPr>
        <w:rPr>
          <w:rFonts w:cs="Arial"/>
          <w:b/>
          <w:szCs w:val="20"/>
        </w:rPr>
      </w:pPr>
      <w:r w:rsidRPr="00124B9A">
        <w:rPr>
          <w:rFonts w:cs="Arial"/>
          <w:b/>
          <w:szCs w:val="20"/>
        </w:rPr>
        <w:t>Select a single response unless otherwise indicated.</w:t>
      </w:r>
    </w:p>
    <w:p w14:paraId="07C89FBD" w14:textId="77777777" w:rsidR="006A27DD" w:rsidRPr="00124B9A" w:rsidRDefault="006A27DD" w:rsidP="006A27DD">
      <w:pPr>
        <w:rPr>
          <w:rFonts w:cs="Arial"/>
          <w:b/>
          <w:i/>
          <w:szCs w:val="20"/>
        </w:rPr>
      </w:pPr>
    </w:p>
    <w:p w14:paraId="060DCF29" w14:textId="77777777" w:rsidR="004D5CC3" w:rsidRPr="00124B9A" w:rsidRDefault="004D5CC3" w:rsidP="004D5CC3">
      <w:pPr>
        <w:rPr>
          <w:rFonts w:cs="Arial"/>
          <w:szCs w:val="20"/>
          <w:shd w:val="clear" w:color="auto" w:fill="FFFFFF"/>
        </w:rPr>
      </w:pPr>
    </w:p>
    <w:p w14:paraId="5AD10D78" w14:textId="77777777" w:rsidR="004D5CC3" w:rsidRPr="00124B9A" w:rsidRDefault="004D5CC3" w:rsidP="004D5CC3">
      <w:pPr>
        <w:pStyle w:val="NormalWeb"/>
        <w:shd w:val="clear" w:color="auto" w:fill="FFFFFF"/>
        <w:spacing w:before="0" w:beforeAutospacing="0" w:after="0" w:afterAutospacing="0" w:line="184" w:lineRule="atLeast"/>
        <w:rPr>
          <w:rStyle w:val="Strong"/>
          <w:rFonts w:cs="Arial"/>
        </w:rPr>
      </w:pPr>
      <w:r w:rsidRPr="00124B9A">
        <w:rPr>
          <w:rStyle w:val="Strong"/>
          <w:rFonts w:cs="Arial"/>
          <w:szCs w:val="20"/>
        </w:rPr>
        <w:t>+ SPECIMEN TYPE</w:t>
      </w:r>
    </w:p>
    <w:p w14:paraId="20FE8991" w14:textId="77777777" w:rsidR="004D5CC3" w:rsidRPr="00124B9A" w:rsidRDefault="004D5CC3" w:rsidP="004D5CC3">
      <w:pPr>
        <w:rPr>
          <w:rFonts w:cs="Arial"/>
          <w:szCs w:val="20"/>
        </w:rPr>
      </w:pPr>
      <w:r w:rsidRPr="00124B9A">
        <w:rPr>
          <w:rFonts w:cs="Arial"/>
          <w:szCs w:val="20"/>
        </w:rPr>
        <w:t>+ ___ Peripheral blood</w:t>
      </w:r>
    </w:p>
    <w:p w14:paraId="5FF03267" w14:textId="77777777" w:rsidR="004D5CC3" w:rsidRPr="00124B9A" w:rsidRDefault="004D5CC3" w:rsidP="004D5CC3">
      <w:pPr>
        <w:rPr>
          <w:rFonts w:cs="Arial"/>
          <w:szCs w:val="20"/>
        </w:rPr>
      </w:pPr>
      <w:r w:rsidRPr="00124B9A">
        <w:rPr>
          <w:rFonts w:cs="Arial"/>
          <w:szCs w:val="20"/>
        </w:rPr>
        <w:t>+ ___ Bone marrow</w:t>
      </w:r>
    </w:p>
    <w:p w14:paraId="1CCA7223" w14:textId="77777777" w:rsidR="004D5CC3" w:rsidRPr="00124B9A" w:rsidRDefault="004D5CC3" w:rsidP="004D5CC3">
      <w:pPr>
        <w:rPr>
          <w:rFonts w:cs="Arial"/>
          <w:szCs w:val="20"/>
        </w:rPr>
      </w:pPr>
      <w:r w:rsidRPr="00124B9A">
        <w:rPr>
          <w:rFonts w:cs="Arial"/>
          <w:szCs w:val="20"/>
        </w:rPr>
        <w:t>+ ___ Lymph node (specify site): ___________________</w:t>
      </w:r>
    </w:p>
    <w:p w14:paraId="1D895E97" w14:textId="77777777" w:rsidR="004D5CC3" w:rsidRPr="00124B9A" w:rsidRDefault="004D5CC3" w:rsidP="004D5CC3">
      <w:pPr>
        <w:rPr>
          <w:rFonts w:cs="Arial"/>
          <w:szCs w:val="20"/>
        </w:rPr>
      </w:pPr>
      <w:r w:rsidRPr="00124B9A">
        <w:rPr>
          <w:rFonts w:cs="Arial"/>
          <w:szCs w:val="20"/>
        </w:rPr>
        <w:t>+ ___ Other (specify): ____________________</w:t>
      </w:r>
    </w:p>
    <w:p w14:paraId="39FE9156" w14:textId="77777777" w:rsidR="004D5CC3" w:rsidRPr="00124B9A" w:rsidRDefault="004D5CC3" w:rsidP="004D5CC3">
      <w:pPr>
        <w:pStyle w:val="NormalWeb"/>
        <w:shd w:val="clear" w:color="auto" w:fill="FFFFFF"/>
        <w:spacing w:before="0" w:beforeAutospacing="0" w:after="0" w:afterAutospacing="0" w:line="184" w:lineRule="atLeast"/>
        <w:rPr>
          <w:rStyle w:val="Strong"/>
          <w:rFonts w:cs="Arial"/>
        </w:rPr>
      </w:pPr>
    </w:p>
    <w:p w14:paraId="761A58D8" w14:textId="77777777" w:rsidR="004D5CC3" w:rsidRPr="00124B9A" w:rsidRDefault="004D5CC3" w:rsidP="004D5CC3">
      <w:pPr>
        <w:pStyle w:val="NormalWeb"/>
        <w:shd w:val="clear" w:color="auto" w:fill="FFFFFF"/>
        <w:spacing w:before="0" w:beforeAutospacing="0" w:after="0" w:afterAutospacing="0" w:line="184" w:lineRule="atLeast"/>
        <w:rPr>
          <w:rStyle w:val="Strong"/>
          <w:rFonts w:cs="Arial"/>
        </w:rPr>
      </w:pPr>
    </w:p>
    <w:p w14:paraId="6BCF570B" w14:textId="77777777" w:rsidR="004D5CC3" w:rsidRDefault="004D5CC3" w:rsidP="004D5CC3">
      <w:pPr>
        <w:pStyle w:val="NormalWeb"/>
        <w:shd w:val="clear" w:color="auto" w:fill="FFFFFF"/>
        <w:spacing w:before="0" w:beforeAutospacing="0" w:after="0" w:afterAutospacing="0" w:line="184" w:lineRule="atLeast"/>
        <w:rPr>
          <w:rStyle w:val="Strong"/>
          <w:rFonts w:cs="Arial"/>
          <w:szCs w:val="20"/>
        </w:rPr>
      </w:pPr>
      <w:r w:rsidRPr="00124B9A">
        <w:rPr>
          <w:rStyle w:val="Strong"/>
          <w:rFonts w:cs="Arial"/>
          <w:szCs w:val="20"/>
        </w:rPr>
        <w:t>+ RESULTS</w:t>
      </w:r>
    </w:p>
    <w:p w14:paraId="0C4B3583" w14:textId="77777777" w:rsidR="00124B9A" w:rsidRPr="00124B9A" w:rsidRDefault="00124B9A" w:rsidP="004D5CC3">
      <w:pPr>
        <w:pStyle w:val="NormalWeb"/>
        <w:shd w:val="clear" w:color="auto" w:fill="FFFFFF"/>
        <w:spacing w:before="0" w:beforeAutospacing="0" w:after="0" w:afterAutospacing="0" w:line="184" w:lineRule="atLeast"/>
        <w:rPr>
          <w:rStyle w:val="Strong"/>
          <w:rFonts w:cs="Arial"/>
        </w:rPr>
      </w:pPr>
    </w:p>
    <w:p w14:paraId="3C50A773" w14:textId="77777777" w:rsidR="00CE4565" w:rsidRPr="00124B9A" w:rsidRDefault="00CE4565" w:rsidP="00CE4565">
      <w:pPr>
        <w:autoSpaceDE w:val="0"/>
        <w:autoSpaceDN w:val="0"/>
        <w:adjustRightInd w:val="0"/>
        <w:rPr>
          <w:rFonts w:cs="Arial"/>
          <w:i/>
        </w:rPr>
      </w:pPr>
      <w:r w:rsidRPr="00124B9A">
        <w:rPr>
          <w:rFonts w:cs="Arial"/>
          <w:i/>
        </w:rPr>
        <w:t>Note: If a marker is tested by more than one method (eg, polymerase chain reaction and immunohistochemistry), please document the additional result(s) and method(s) in the Comments section of the report.</w:t>
      </w:r>
    </w:p>
    <w:p w14:paraId="7D34BDD7" w14:textId="77777777" w:rsidR="004D5CC3" w:rsidRPr="00124B9A" w:rsidRDefault="004D5CC3" w:rsidP="004D5CC3">
      <w:pPr>
        <w:autoSpaceDE w:val="0"/>
        <w:autoSpaceDN w:val="0"/>
        <w:adjustRightInd w:val="0"/>
        <w:rPr>
          <w:rFonts w:cs="Arial"/>
          <w:szCs w:val="20"/>
        </w:rPr>
      </w:pPr>
    </w:p>
    <w:p w14:paraId="6B63E3DA" w14:textId="77777777" w:rsidR="004D5CC3" w:rsidRPr="00124B9A" w:rsidRDefault="004D5CC3" w:rsidP="004D5CC3">
      <w:pPr>
        <w:rPr>
          <w:rFonts w:cs="Arial"/>
          <w:b/>
          <w:szCs w:val="20"/>
        </w:rPr>
      </w:pPr>
      <w:r w:rsidRPr="00124B9A">
        <w:rPr>
          <w:rFonts w:cs="Arial"/>
          <w:b/>
          <w:szCs w:val="20"/>
        </w:rPr>
        <w:t>+ Chromosomal Abnormalities</w:t>
      </w:r>
      <w:r w:rsidR="00EC3DDF" w:rsidRPr="00124B9A">
        <w:rPr>
          <w:rFonts w:cs="Arial"/>
          <w:b/>
          <w:szCs w:val="20"/>
        </w:rPr>
        <w:t xml:space="preserve"> (Note B)</w:t>
      </w:r>
      <w:r w:rsidR="000F0FB7" w:rsidRPr="00124B9A">
        <w:rPr>
          <w:rFonts w:cs="Arial"/>
          <w:b/>
          <w:szCs w:val="20"/>
        </w:rPr>
        <w:t xml:space="preserve"> (select all that apply)</w:t>
      </w:r>
    </w:p>
    <w:p w14:paraId="7229210C" w14:textId="77777777" w:rsidR="004D5CC3" w:rsidRPr="00124B9A" w:rsidRDefault="004D5CC3" w:rsidP="00EC3DDF">
      <w:pPr>
        <w:rPr>
          <w:rFonts w:cs="Arial"/>
          <w:szCs w:val="20"/>
        </w:rPr>
      </w:pPr>
      <w:r w:rsidRPr="00124B9A">
        <w:rPr>
          <w:rFonts w:cs="Arial"/>
          <w:szCs w:val="20"/>
        </w:rPr>
        <w:t>+ ___ 13q deletion</w:t>
      </w:r>
    </w:p>
    <w:p w14:paraId="2EE5B721" w14:textId="77777777" w:rsidR="004D5CC3" w:rsidRPr="00124B9A" w:rsidRDefault="004D5CC3" w:rsidP="00EC3DDF">
      <w:pPr>
        <w:ind w:firstLine="720"/>
        <w:rPr>
          <w:rFonts w:cs="Arial"/>
          <w:szCs w:val="20"/>
        </w:rPr>
      </w:pPr>
      <w:r w:rsidRPr="00124B9A">
        <w:rPr>
          <w:rFonts w:cs="Arial"/>
          <w:szCs w:val="20"/>
        </w:rPr>
        <w:t>+ ___ Not detected</w:t>
      </w:r>
    </w:p>
    <w:p w14:paraId="3DAF4AE0" w14:textId="77777777" w:rsidR="004D5CC3" w:rsidRPr="00124B9A" w:rsidRDefault="004D5CC3" w:rsidP="00EC3DDF">
      <w:pPr>
        <w:ind w:firstLine="720"/>
        <w:rPr>
          <w:rFonts w:cs="Arial"/>
          <w:szCs w:val="20"/>
        </w:rPr>
      </w:pPr>
      <w:r w:rsidRPr="00124B9A">
        <w:rPr>
          <w:rFonts w:cs="Arial"/>
          <w:szCs w:val="20"/>
        </w:rPr>
        <w:t xml:space="preserve">+ ___ Detected </w:t>
      </w:r>
    </w:p>
    <w:p w14:paraId="08D83DB5" w14:textId="77777777" w:rsidR="004D5CC3" w:rsidRPr="00124B9A" w:rsidRDefault="004D5CC3" w:rsidP="00EC3DDF">
      <w:pPr>
        <w:ind w:left="720"/>
        <w:rPr>
          <w:rFonts w:cs="Arial"/>
          <w:szCs w:val="20"/>
        </w:rPr>
      </w:pPr>
      <w:r w:rsidRPr="00124B9A">
        <w:rPr>
          <w:rFonts w:cs="Arial"/>
          <w:szCs w:val="20"/>
        </w:rPr>
        <w:t>+ ___Other abnormal signal patterns (specify): _______________</w:t>
      </w:r>
      <w:r w:rsidRPr="00124B9A" w:rsidDel="00051815">
        <w:rPr>
          <w:rFonts w:cs="Arial"/>
          <w:szCs w:val="20"/>
        </w:rPr>
        <w:t xml:space="preserve"> </w:t>
      </w:r>
    </w:p>
    <w:p w14:paraId="6AC4036C" w14:textId="77777777" w:rsidR="004D5CC3" w:rsidRPr="00124B9A" w:rsidRDefault="004D5CC3" w:rsidP="00EC3DDF">
      <w:pPr>
        <w:rPr>
          <w:rFonts w:cs="Arial"/>
          <w:szCs w:val="20"/>
        </w:rPr>
      </w:pPr>
      <w:r w:rsidRPr="00124B9A">
        <w:rPr>
          <w:rFonts w:cs="Arial"/>
          <w:szCs w:val="20"/>
        </w:rPr>
        <w:t>+ ___ Trisomy 12</w:t>
      </w:r>
    </w:p>
    <w:p w14:paraId="7CC428B0" w14:textId="77777777" w:rsidR="004D5CC3" w:rsidRPr="00124B9A" w:rsidRDefault="004D5CC3" w:rsidP="00EC3DDF">
      <w:pPr>
        <w:ind w:firstLine="720"/>
        <w:rPr>
          <w:rFonts w:cs="Arial"/>
          <w:szCs w:val="20"/>
        </w:rPr>
      </w:pPr>
      <w:r w:rsidRPr="00124B9A">
        <w:rPr>
          <w:rFonts w:cs="Arial"/>
          <w:szCs w:val="20"/>
        </w:rPr>
        <w:t>+ ___ Not detected</w:t>
      </w:r>
    </w:p>
    <w:p w14:paraId="0C59DBB5" w14:textId="77777777" w:rsidR="004D5CC3" w:rsidRPr="00124B9A" w:rsidRDefault="004D5CC3" w:rsidP="00EC3DDF">
      <w:pPr>
        <w:ind w:firstLine="720"/>
        <w:rPr>
          <w:rFonts w:cs="Arial"/>
          <w:szCs w:val="20"/>
        </w:rPr>
      </w:pPr>
      <w:r w:rsidRPr="00124B9A">
        <w:rPr>
          <w:rFonts w:cs="Arial"/>
          <w:szCs w:val="20"/>
        </w:rPr>
        <w:t xml:space="preserve">+ ___ Detected </w:t>
      </w:r>
    </w:p>
    <w:p w14:paraId="6E4E544A" w14:textId="77777777" w:rsidR="004D5CC3" w:rsidRPr="00124B9A" w:rsidRDefault="004D5CC3" w:rsidP="00EC3DDF">
      <w:pPr>
        <w:ind w:firstLine="720"/>
        <w:rPr>
          <w:rFonts w:cs="Arial"/>
          <w:szCs w:val="20"/>
        </w:rPr>
      </w:pPr>
      <w:r w:rsidRPr="00124B9A">
        <w:rPr>
          <w:rFonts w:cs="Arial"/>
          <w:szCs w:val="20"/>
        </w:rPr>
        <w:t>+ ___</w:t>
      </w:r>
      <w:r w:rsidR="005D32E8" w:rsidRPr="00124B9A">
        <w:rPr>
          <w:rFonts w:cs="Arial"/>
          <w:szCs w:val="20"/>
        </w:rPr>
        <w:t xml:space="preserve"> </w:t>
      </w:r>
      <w:r w:rsidRPr="00124B9A">
        <w:rPr>
          <w:rFonts w:cs="Arial"/>
          <w:szCs w:val="20"/>
        </w:rPr>
        <w:t>Other abnormal signal patterns (specify): _______________</w:t>
      </w:r>
    </w:p>
    <w:p w14:paraId="4E049B29" w14:textId="77777777" w:rsidR="004D5CC3" w:rsidRPr="00124B9A" w:rsidRDefault="004D5CC3" w:rsidP="00EC3DDF">
      <w:pPr>
        <w:rPr>
          <w:rFonts w:cs="Arial"/>
          <w:szCs w:val="20"/>
        </w:rPr>
      </w:pPr>
      <w:r w:rsidRPr="00124B9A">
        <w:rPr>
          <w:rFonts w:cs="Arial"/>
          <w:szCs w:val="20"/>
        </w:rPr>
        <w:t>+ ___ 11q deletion</w:t>
      </w:r>
    </w:p>
    <w:p w14:paraId="21C14C89" w14:textId="77777777" w:rsidR="004D5CC3" w:rsidRPr="00124B9A" w:rsidRDefault="004D5CC3" w:rsidP="00EC3DDF">
      <w:pPr>
        <w:ind w:firstLine="720"/>
        <w:rPr>
          <w:rFonts w:cs="Arial"/>
          <w:szCs w:val="20"/>
        </w:rPr>
      </w:pPr>
      <w:r w:rsidRPr="00124B9A">
        <w:rPr>
          <w:rFonts w:cs="Arial"/>
          <w:szCs w:val="20"/>
        </w:rPr>
        <w:t>+ ___ Not detected</w:t>
      </w:r>
    </w:p>
    <w:p w14:paraId="0FA1F90B" w14:textId="77777777" w:rsidR="004D5CC3" w:rsidRPr="00124B9A" w:rsidRDefault="004D5CC3" w:rsidP="00EC3DDF">
      <w:pPr>
        <w:ind w:firstLine="720"/>
        <w:rPr>
          <w:rFonts w:cs="Arial"/>
          <w:szCs w:val="20"/>
        </w:rPr>
      </w:pPr>
      <w:r w:rsidRPr="00124B9A">
        <w:rPr>
          <w:rFonts w:cs="Arial"/>
          <w:szCs w:val="20"/>
        </w:rPr>
        <w:t xml:space="preserve">+ ___ Detected </w:t>
      </w:r>
    </w:p>
    <w:p w14:paraId="53DBC33B" w14:textId="77777777" w:rsidR="004D5CC3" w:rsidRPr="00124B9A" w:rsidRDefault="004D5CC3" w:rsidP="00EC3DDF">
      <w:pPr>
        <w:ind w:firstLine="720"/>
        <w:rPr>
          <w:rFonts w:cs="Arial"/>
          <w:szCs w:val="20"/>
        </w:rPr>
      </w:pPr>
      <w:r w:rsidRPr="00124B9A">
        <w:rPr>
          <w:rFonts w:cs="Arial"/>
          <w:szCs w:val="20"/>
        </w:rPr>
        <w:t>+ ___ Other abnormal signal patterns (specify): _______________</w:t>
      </w:r>
    </w:p>
    <w:p w14:paraId="30DD9D07" w14:textId="77777777" w:rsidR="004D5CC3" w:rsidRPr="00124B9A" w:rsidRDefault="004D5CC3" w:rsidP="00EC3DDF">
      <w:pPr>
        <w:rPr>
          <w:rFonts w:cs="Arial"/>
          <w:szCs w:val="20"/>
        </w:rPr>
      </w:pPr>
      <w:r w:rsidRPr="00124B9A">
        <w:rPr>
          <w:rFonts w:cs="Arial"/>
          <w:szCs w:val="20"/>
        </w:rPr>
        <w:t>+ ___ 17p deletion</w:t>
      </w:r>
    </w:p>
    <w:p w14:paraId="40DDF347" w14:textId="77777777" w:rsidR="004D5CC3" w:rsidRPr="00124B9A" w:rsidRDefault="004D5CC3" w:rsidP="00EC3DDF">
      <w:pPr>
        <w:ind w:firstLine="720"/>
        <w:rPr>
          <w:rFonts w:cs="Arial"/>
          <w:szCs w:val="20"/>
        </w:rPr>
      </w:pPr>
      <w:r w:rsidRPr="00124B9A">
        <w:rPr>
          <w:rFonts w:cs="Arial"/>
          <w:szCs w:val="20"/>
        </w:rPr>
        <w:t>+ ___ Not detected</w:t>
      </w:r>
    </w:p>
    <w:p w14:paraId="1DCACD8D" w14:textId="77777777" w:rsidR="004D5CC3" w:rsidRPr="00124B9A" w:rsidRDefault="004D5CC3" w:rsidP="00EC3DDF">
      <w:pPr>
        <w:ind w:firstLine="720"/>
        <w:rPr>
          <w:rFonts w:cs="Arial"/>
          <w:szCs w:val="20"/>
        </w:rPr>
      </w:pPr>
      <w:r w:rsidRPr="00124B9A">
        <w:rPr>
          <w:rFonts w:cs="Arial"/>
          <w:szCs w:val="20"/>
        </w:rPr>
        <w:t xml:space="preserve">+ ___ Detected </w:t>
      </w:r>
    </w:p>
    <w:p w14:paraId="083C5D23" w14:textId="77777777" w:rsidR="004D5CC3" w:rsidRPr="00124B9A" w:rsidRDefault="004D5CC3" w:rsidP="00EC3DDF">
      <w:pPr>
        <w:ind w:firstLine="720"/>
        <w:rPr>
          <w:rFonts w:cs="Arial"/>
          <w:szCs w:val="20"/>
        </w:rPr>
      </w:pPr>
      <w:r w:rsidRPr="00124B9A">
        <w:rPr>
          <w:rFonts w:cs="Arial"/>
          <w:szCs w:val="20"/>
        </w:rPr>
        <w:t>+ ___ Other abnormal signal patterns (specify): _______________</w:t>
      </w:r>
    </w:p>
    <w:p w14:paraId="0ECDC310" w14:textId="1FEA841E" w:rsidR="004D5CC3" w:rsidRPr="00124B9A" w:rsidRDefault="004D5CC3" w:rsidP="00EC3DDF">
      <w:pPr>
        <w:autoSpaceDE w:val="0"/>
        <w:autoSpaceDN w:val="0"/>
        <w:adjustRightInd w:val="0"/>
        <w:rPr>
          <w:rFonts w:cs="Arial"/>
          <w:szCs w:val="20"/>
        </w:rPr>
      </w:pPr>
      <w:r w:rsidRPr="00124B9A">
        <w:rPr>
          <w:rFonts w:cs="Arial"/>
          <w:szCs w:val="20"/>
        </w:rPr>
        <w:t xml:space="preserve">+ Other probes tested </w:t>
      </w:r>
    </w:p>
    <w:p w14:paraId="06C0EAE6" w14:textId="77777777" w:rsidR="004D5CC3" w:rsidRPr="00124B9A" w:rsidRDefault="004D5CC3" w:rsidP="00EC3DDF">
      <w:pPr>
        <w:autoSpaceDE w:val="0"/>
        <w:autoSpaceDN w:val="0"/>
        <w:adjustRightInd w:val="0"/>
        <w:ind w:left="720"/>
        <w:rPr>
          <w:rFonts w:cs="Arial"/>
          <w:szCs w:val="20"/>
        </w:rPr>
      </w:pPr>
      <w:r w:rsidRPr="00124B9A">
        <w:rPr>
          <w:rFonts w:cs="Arial"/>
          <w:szCs w:val="20"/>
        </w:rPr>
        <w:t>+ Specify probe: ________</w:t>
      </w:r>
      <w:r w:rsidR="005D32E8" w:rsidRPr="00124B9A">
        <w:rPr>
          <w:rFonts w:cs="Arial"/>
          <w:szCs w:val="20"/>
        </w:rPr>
        <w:t>____</w:t>
      </w:r>
      <w:r w:rsidRPr="00124B9A">
        <w:rPr>
          <w:rFonts w:cs="Arial"/>
          <w:szCs w:val="20"/>
        </w:rPr>
        <w:t>________</w:t>
      </w:r>
    </w:p>
    <w:p w14:paraId="320021DE" w14:textId="77777777" w:rsidR="004D5CC3" w:rsidRPr="00124B9A" w:rsidRDefault="004D5CC3" w:rsidP="00EC3DDF">
      <w:pPr>
        <w:ind w:firstLine="720"/>
        <w:rPr>
          <w:rFonts w:cs="Arial"/>
          <w:szCs w:val="20"/>
        </w:rPr>
      </w:pPr>
      <w:r w:rsidRPr="00124B9A">
        <w:rPr>
          <w:rFonts w:cs="Arial"/>
          <w:szCs w:val="20"/>
        </w:rPr>
        <w:t>+ Specify results: ____________________</w:t>
      </w:r>
    </w:p>
    <w:p w14:paraId="4A2010D9" w14:textId="77777777" w:rsidR="004D5CC3" w:rsidRPr="00124B9A" w:rsidRDefault="004D5CC3" w:rsidP="00EC3DDF">
      <w:pPr>
        <w:rPr>
          <w:rFonts w:cs="Arial"/>
          <w:szCs w:val="20"/>
        </w:rPr>
      </w:pPr>
      <w:r w:rsidRPr="00124B9A">
        <w:rPr>
          <w:rFonts w:cs="Arial"/>
          <w:szCs w:val="20"/>
        </w:rPr>
        <w:t>+ Additional copy number variations noted</w:t>
      </w:r>
    </w:p>
    <w:p w14:paraId="4B332E72" w14:textId="77777777" w:rsidR="004D5CC3" w:rsidRPr="00124B9A" w:rsidRDefault="004D5CC3" w:rsidP="004D5CC3">
      <w:pPr>
        <w:ind w:left="720"/>
        <w:rPr>
          <w:rFonts w:cs="Arial"/>
          <w:szCs w:val="20"/>
        </w:rPr>
      </w:pPr>
      <w:r w:rsidRPr="00124B9A">
        <w:rPr>
          <w:rFonts w:cs="Arial"/>
          <w:szCs w:val="20"/>
        </w:rPr>
        <w:t>+ Gains (specify regions): ___________________________</w:t>
      </w:r>
      <w:r w:rsidR="00283716" w:rsidRPr="00124B9A">
        <w:rPr>
          <w:rFonts w:cs="Arial"/>
          <w:szCs w:val="20"/>
        </w:rPr>
        <w:t>__________________________</w:t>
      </w:r>
    </w:p>
    <w:p w14:paraId="0589AE8C" w14:textId="77777777" w:rsidR="004D5CC3" w:rsidRPr="00124B9A" w:rsidRDefault="004D5CC3" w:rsidP="004D5CC3">
      <w:pPr>
        <w:ind w:left="720"/>
        <w:rPr>
          <w:rFonts w:cs="Arial"/>
          <w:szCs w:val="20"/>
        </w:rPr>
      </w:pPr>
      <w:r w:rsidRPr="00124B9A">
        <w:rPr>
          <w:rFonts w:cs="Arial"/>
          <w:szCs w:val="20"/>
        </w:rPr>
        <w:t>+ Losses (specify regions): ___________________________</w:t>
      </w:r>
      <w:r w:rsidR="00283716" w:rsidRPr="00124B9A">
        <w:rPr>
          <w:rFonts w:cs="Arial"/>
          <w:szCs w:val="20"/>
        </w:rPr>
        <w:t>__________________________</w:t>
      </w:r>
    </w:p>
    <w:p w14:paraId="0DF9F041" w14:textId="77777777" w:rsidR="004D5CC3" w:rsidRPr="00124B9A" w:rsidRDefault="004D5CC3" w:rsidP="005D32E8">
      <w:pPr>
        <w:keepNext/>
        <w:rPr>
          <w:rFonts w:cs="Arial"/>
          <w:szCs w:val="20"/>
        </w:rPr>
      </w:pPr>
      <w:r w:rsidRPr="00124B9A">
        <w:rPr>
          <w:rFonts w:cs="Arial"/>
          <w:szCs w:val="20"/>
        </w:rPr>
        <w:t xml:space="preserve">+ Loss of heterozygosity </w:t>
      </w:r>
    </w:p>
    <w:p w14:paraId="4882945A" w14:textId="77777777" w:rsidR="004D5CC3" w:rsidRPr="00124B9A" w:rsidRDefault="004D5CC3" w:rsidP="005D32E8">
      <w:pPr>
        <w:keepNext/>
        <w:ind w:left="720"/>
        <w:rPr>
          <w:rFonts w:cs="Arial"/>
          <w:szCs w:val="20"/>
        </w:rPr>
      </w:pPr>
      <w:r w:rsidRPr="00124B9A">
        <w:rPr>
          <w:rFonts w:cs="Arial"/>
          <w:szCs w:val="20"/>
        </w:rPr>
        <w:t>+ ___ Not identified</w:t>
      </w:r>
    </w:p>
    <w:p w14:paraId="54821703" w14:textId="77777777" w:rsidR="004D5CC3" w:rsidRPr="00124B9A" w:rsidRDefault="004D5CC3" w:rsidP="004D5CC3">
      <w:pPr>
        <w:ind w:left="720"/>
        <w:rPr>
          <w:rFonts w:cs="Arial"/>
          <w:szCs w:val="20"/>
        </w:rPr>
      </w:pPr>
      <w:r w:rsidRPr="00124B9A">
        <w:rPr>
          <w:rFonts w:cs="Arial"/>
          <w:szCs w:val="20"/>
        </w:rPr>
        <w:t>+ ___ Identified (specify regions): ___________________________</w:t>
      </w:r>
      <w:r w:rsidR="00283716" w:rsidRPr="00124B9A">
        <w:rPr>
          <w:rFonts w:cs="Arial"/>
          <w:szCs w:val="20"/>
        </w:rPr>
        <w:t>___________________</w:t>
      </w:r>
    </w:p>
    <w:p w14:paraId="1DB9B186" w14:textId="77777777" w:rsidR="004D5CC3" w:rsidRPr="00124B9A" w:rsidRDefault="004D5CC3" w:rsidP="00EC3DDF">
      <w:pPr>
        <w:rPr>
          <w:rFonts w:cs="Arial"/>
          <w:szCs w:val="20"/>
        </w:rPr>
      </w:pPr>
      <w:r w:rsidRPr="00124B9A">
        <w:rPr>
          <w:rFonts w:cs="Arial"/>
          <w:szCs w:val="20"/>
        </w:rPr>
        <w:lastRenderedPageBreak/>
        <w:t>+ Cytogenetic testing complete karyotype (specify): ____________________</w:t>
      </w:r>
    </w:p>
    <w:p w14:paraId="77DC1693" w14:textId="77777777" w:rsidR="004D5CC3" w:rsidRPr="00124B9A" w:rsidRDefault="004D5CC3" w:rsidP="004D5CC3">
      <w:pPr>
        <w:ind w:left="720"/>
        <w:rPr>
          <w:rFonts w:cs="Arial"/>
          <w:szCs w:val="20"/>
        </w:rPr>
      </w:pPr>
    </w:p>
    <w:p w14:paraId="515B0EBF" w14:textId="77777777" w:rsidR="004D5CC3" w:rsidRPr="00124B9A" w:rsidRDefault="004D5CC3" w:rsidP="004D5CC3">
      <w:pPr>
        <w:keepNext/>
        <w:rPr>
          <w:rFonts w:cs="Arial"/>
          <w:b/>
          <w:szCs w:val="20"/>
        </w:rPr>
      </w:pPr>
      <w:r w:rsidRPr="00124B9A">
        <w:rPr>
          <w:rFonts w:cs="Arial"/>
          <w:b/>
          <w:szCs w:val="20"/>
        </w:rPr>
        <w:t>+ Protein Expression</w:t>
      </w:r>
      <w:r w:rsidR="00EC3DDF" w:rsidRPr="00124B9A">
        <w:rPr>
          <w:rFonts w:cs="Arial"/>
          <w:b/>
          <w:szCs w:val="20"/>
        </w:rPr>
        <w:t xml:space="preserve"> (Note</w:t>
      </w:r>
      <w:r w:rsidR="00E90003" w:rsidRPr="00124B9A">
        <w:rPr>
          <w:rFonts w:cs="Arial"/>
          <w:b/>
          <w:szCs w:val="20"/>
        </w:rPr>
        <w:t>s</w:t>
      </w:r>
      <w:r w:rsidR="00EC3DDF" w:rsidRPr="00124B9A">
        <w:rPr>
          <w:rFonts w:cs="Arial"/>
          <w:b/>
          <w:szCs w:val="20"/>
        </w:rPr>
        <w:t xml:space="preserve"> C and D)</w:t>
      </w:r>
      <w:r w:rsidR="000F0FB7" w:rsidRPr="00124B9A">
        <w:rPr>
          <w:rFonts w:cs="Arial"/>
          <w:b/>
          <w:szCs w:val="20"/>
        </w:rPr>
        <w:t xml:space="preserve"> (select all that apply)</w:t>
      </w:r>
    </w:p>
    <w:p w14:paraId="2D518D47" w14:textId="77777777" w:rsidR="004D5CC3" w:rsidRPr="00124B9A" w:rsidRDefault="00A9647E" w:rsidP="00EC3DDF">
      <w:pPr>
        <w:keepNext/>
        <w:rPr>
          <w:rFonts w:cs="Arial"/>
          <w:szCs w:val="20"/>
        </w:rPr>
      </w:pPr>
      <w:r w:rsidRPr="00124B9A">
        <w:rPr>
          <w:rFonts w:cs="Arial"/>
          <w:szCs w:val="20"/>
        </w:rPr>
        <w:t xml:space="preserve">+ ___ ZAP-70 </w:t>
      </w:r>
    </w:p>
    <w:p w14:paraId="2CA5B91B" w14:textId="77777777" w:rsidR="004D5CC3" w:rsidRPr="00124B9A" w:rsidRDefault="004D5CC3" w:rsidP="00EC3DDF">
      <w:pPr>
        <w:ind w:firstLine="720"/>
        <w:rPr>
          <w:rFonts w:cs="Arial"/>
          <w:szCs w:val="20"/>
        </w:rPr>
      </w:pPr>
      <w:r w:rsidRPr="00124B9A">
        <w:rPr>
          <w:rFonts w:cs="Arial"/>
          <w:szCs w:val="20"/>
        </w:rPr>
        <w:t>+ ___ Not expressed (percent of CLL cells positive): ____________</w:t>
      </w:r>
    </w:p>
    <w:p w14:paraId="6CBB1241" w14:textId="77777777" w:rsidR="004D5CC3" w:rsidRPr="00124B9A" w:rsidRDefault="004D5CC3" w:rsidP="00EC3DDF">
      <w:pPr>
        <w:ind w:firstLine="720"/>
        <w:rPr>
          <w:rFonts w:cs="Arial"/>
          <w:szCs w:val="20"/>
        </w:rPr>
      </w:pPr>
      <w:r w:rsidRPr="00124B9A">
        <w:rPr>
          <w:rFonts w:cs="Arial"/>
          <w:szCs w:val="20"/>
        </w:rPr>
        <w:t>+ ___ Expressed (percent of CLL cells positive): ____________</w:t>
      </w:r>
    </w:p>
    <w:p w14:paraId="5FB83276" w14:textId="77777777" w:rsidR="004D5CC3" w:rsidRPr="00124B9A" w:rsidRDefault="004D5CC3" w:rsidP="00EC3DDF">
      <w:pPr>
        <w:rPr>
          <w:rFonts w:cs="Arial"/>
          <w:szCs w:val="20"/>
        </w:rPr>
      </w:pPr>
      <w:r w:rsidRPr="00124B9A">
        <w:rPr>
          <w:rFonts w:cs="Arial"/>
          <w:szCs w:val="20"/>
        </w:rPr>
        <w:t xml:space="preserve">+ ___ CD38 </w:t>
      </w:r>
    </w:p>
    <w:p w14:paraId="3874B39B" w14:textId="77777777" w:rsidR="004D5CC3" w:rsidRPr="00124B9A" w:rsidDel="002A5F50" w:rsidRDefault="004D5CC3" w:rsidP="00EC3DDF">
      <w:pPr>
        <w:ind w:firstLine="720"/>
        <w:rPr>
          <w:rFonts w:cs="Arial"/>
          <w:szCs w:val="20"/>
        </w:rPr>
      </w:pPr>
      <w:r w:rsidRPr="00124B9A">
        <w:rPr>
          <w:rFonts w:cs="Arial"/>
          <w:szCs w:val="20"/>
        </w:rPr>
        <w:t>+ ___ Not expressed (percent of CLL cells positive): ____________</w:t>
      </w:r>
    </w:p>
    <w:p w14:paraId="701B19DF" w14:textId="77777777" w:rsidR="004D5CC3" w:rsidRPr="00124B9A" w:rsidRDefault="004D5CC3" w:rsidP="00EC3DDF">
      <w:pPr>
        <w:ind w:firstLine="720"/>
        <w:rPr>
          <w:rFonts w:cs="Arial"/>
          <w:szCs w:val="20"/>
        </w:rPr>
      </w:pPr>
      <w:r w:rsidRPr="00124B9A">
        <w:rPr>
          <w:rFonts w:cs="Arial"/>
          <w:szCs w:val="20"/>
        </w:rPr>
        <w:t>+ ___ Expressed (percent of CLL cells positive): ____________</w:t>
      </w:r>
    </w:p>
    <w:p w14:paraId="5ABC74AC" w14:textId="77777777" w:rsidR="004D5CC3" w:rsidRPr="00124B9A" w:rsidRDefault="004D5CC3" w:rsidP="004D5CC3">
      <w:pPr>
        <w:rPr>
          <w:rFonts w:cs="Arial"/>
          <w:szCs w:val="20"/>
        </w:rPr>
      </w:pPr>
    </w:p>
    <w:p w14:paraId="0AD4E3A6" w14:textId="77777777" w:rsidR="004D5CC3" w:rsidRPr="00124B9A" w:rsidRDefault="004D5CC3" w:rsidP="004D5CC3">
      <w:pPr>
        <w:rPr>
          <w:rFonts w:cs="Arial"/>
          <w:b/>
          <w:szCs w:val="20"/>
        </w:rPr>
      </w:pPr>
      <w:r w:rsidRPr="00124B9A">
        <w:rPr>
          <w:rFonts w:cs="Arial"/>
          <w:b/>
          <w:szCs w:val="20"/>
        </w:rPr>
        <w:t>+ Sequence Based Testing</w:t>
      </w:r>
    </w:p>
    <w:p w14:paraId="242DFFC5" w14:textId="77777777" w:rsidR="004D5CC3" w:rsidRPr="00124B9A" w:rsidRDefault="004D5CC3" w:rsidP="004D5CC3">
      <w:pPr>
        <w:rPr>
          <w:rFonts w:cs="Arial"/>
          <w:szCs w:val="20"/>
        </w:rPr>
      </w:pPr>
      <w:r w:rsidRPr="00124B9A">
        <w:rPr>
          <w:rFonts w:cs="Arial"/>
          <w:szCs w:val="20"/>
        </w:rPr>
        <w:t>+ Immunoglobulin heavy chains (IgVH) hypermutation status</w:t>
      </w:r>
    </w:p>
    <w:p w14:paraId="13B9DF58" w14:textId="77777777" w:rsidR="004D5CC3" w:rsidRPr="00124B9A" w:rsidRDefault="004D5CC3" w:rsidP="004D5CC3">
      <w:pPr>
        <w:rPr>
          <w:rFonts w:cs="Arial"/>
          <w:szCs w:val="20"/>
        </w:rPr>
      </w:pPr>
      <w:r w:rsidRPr="00124B9A">
        <w:rPr>
          <w:rFonts w:cs="Arial"/>
          <w:szCs w:val="20"/>
        </w:rPr>
        <w:tab/>
        <w:t>+ ___ Mutated (≤97% identity to reference)</w:t>
      </w:r>
    </w:p>
    <w:p w14:paraId="5CB9DDFA" w14:textId="77777777" w:rsidR="004D5CC3" w:rsidRPr="00124B9A" w:rsidRDefault="004D5CC3" w:rsidP="004D5CC3">
      <w:pPr>
        <w:rPr>
          <w:rFonts w:cs="Arial"/>
          <w:szCs w:val="20"/>
        </w:rPr>
      </w:pPr>
      <w:r w:rsidRPr="00124B9A">
        <w:rPr>
          <w:rFonts w:cs="Arial"/>
          <w:szCs w:val="20"/>
        </w:rPr>
        <w:tab/>
        <w:t>+ ___ Unmutated (≥98% identity to reference)</w:t>
      </w:r>
    </w:p>
    <w:p w14:paraId="6185A3B3" w14:textId="77777777" w:rsidR="004D5CC3" w:rsidRPr="00124B9A" w:rsidRDefault="004D5CC3" w:rsidP="004D5CC3">
      <w:pPr>
        <w:rPr>
          <w:rFonts w:cs="Arial"/>
          <w:szCs w:val="20"/>
        </w:rPr>
      </w:pPr>
      <w:r w:rsidRPr="00124B9A">
        <w:rPr>
          <w:rFonts w:cs="Arial"/>
          <w:szCs w:val="20"/>
        </w:rPr>
        <w:tab/>
        <w:t>+ ___ Borderline (&gt;97% and &lt;98% identity to reference)</w:t>
      </w:r>
    </w:p>
    <w:p w14:paraId="5EE5E8BC" w14:textId="77777777" w:rsidR="004D5CC3" w:rsidRPr="00124B9A" w:rsidRDefault="004D5CC3" w:rsidP="004D5CC3">
      <w:pPr>
        <w:rPr>
          <w:rFonts w:cs="Arial"/>
          <w:szCs w:val="20"/>
        </w:rPr>
      </w:pPr>
      <w:r w:rsidRPr="00124B9A">
        <w:rPr>
          <w:rFonts w:cs="Arial"/>
          <w:szCs w:val="20"/>
        </w:rPr>
        <w:t xml:space="preserve">+ IGHV3-21 usage </w:t>
      </w:r>
    </w:p>
    <w:p w14:paraId="351E64EA" w14:textId="77777777" w:rsidR="004D5CC3" w:rsidRPr="00124B9A" w:rsidRDefault="004D5CC3" w:rsidP="004D5CC3">
      <w:pPr>
        <w:ind w:firstLine="720"/>
        <w:rPr>
          <w:rFonts w:cs="Arial"/>
          <w:szCs w:val="20"/>
        </w:rPr>
      </w:pPr>
      <w:r w:rsidRPr="00124B9A">
        <w:rPr>
          <w:rFonts w:cs="Arial"/>
          <w:szCs w:val="20"/>
        </w:rPr>
        <w:t>+ ___ Not detected</w:t>
      </w:r>
    </w:p>
    <w:p w14:paraId="6A123F12" w14:textId="77777777" w:rsidR="004D5CC3" w:rsidRPr="00124B9A" w:rsidRDefault="004D5CC3" w:rsidP="004D5CC3">
      <w:pPr>
        <w:rPr>
          <w:rFonts w:cs="Arial"/>
          <w:szCs w:val="20"/>
        </w:rPr>
      </w:pPr>
      <w:r w:rsidRPr="00124B9A">
        <w:rPr>
          <w:rFonts w:cs="Arial"/>
          <w:szCs w:val="20"/>
        </w:rPr>
        <w:tab/>
        <w:t xml:space="preserve">+ ___ Detected </w:t>
      </w:r>
    </w:p>
    <w:p w14:paraId="590A7C1D" w14:textId="77777777" w:rsidR="004D5CC3" w:rsidRPr="00124B9A" w:rsidRDefault="004D5CC3" w:rsidP="004D5CC3">
      <w:pPr>
        <w:rPr>
          <w:rFonts w:cs="Arial"/>
          <w:szCs w:val="20"/>
        </w:rPr>
      </w:pPr>
      <w:r w:rsidRPr="00124B9A">
        <w:rPr>
          <w:rFonts w:cs="Arial"/>
          <w:szCs w:val="20"/>
        </w:rPr>
        <w:t xml:space="preserve">+ Somatic gene mutations </w:t>
      </w:r>
    </w:p>
    <w:p w14:paraId="024857EE" w14:textId="77777777" w:rsidR="004D5CC3" w:rsidRPr="00124B9A" w:rsidRDefault="004D5CC3" w:rsidP="004D5CC3">
      <w:pPr>
        <w:rPr>
          <w:rFonts w:cs="Arial"/>
          <w:szCs w:val="20"/>
        </w:rPr>
      </w:pPr>
      <w:r w:rsidRPr="00124B9A">
        <w:rPr>
          <w:rFonts w:cs="Arial"/>
          <w:szCs w:val="20"/>
        </w:rPr>
        <w:tab/>
        <w:t xml:space="preserve">+ ___ </w:t>
      </w:r>
      <w:r w:rsidRPr="00124B9A">
        <w:rPr>
          <w:rFonts w:cs="Arial"/>
          <w:i/>
          <w:szCs w:val="20"/>
        </w:rPr>
        <w:t xml:space="preserve">TP53 </w:t>
      </w:r>
    </w:p>
    <w:p w14:paraId="2C61EE73" w14:textId="77777777" w:rsidR="004D5CC3" w:rsidRPr="00124B9A" w:rsidRDefault="004D5CC3" w:rsidP="004D5CC3">
      <w:pPr>
        <w:rPr>
          <w:rFonts w:cs="Arial"/>
          <w:szCs w:val="20"/>
        </w:rPr>
      </w:pPr>
      <w:r w:rsidRPr="00124B9A">
        <w:rPr>
          <w:rFonts w:cs="Arial"/>
          <w:szCs w:val="20"/>
        </w:rPr>
        <w:tab/>
      </w:r>
      <w:r w:rsidRPr="00124B9A">
        <w:rPr>
          <w:rFonts w:cs="Arial"/>
          <w:szCs w:val="20"/>
        </w:rPr>
        <w:tab/>
        <w:t>+ ___ Not detected</w:t>
      </w:r>
    </w:p>
    <w:p w14:paraId="440572F8" w14:textId="77777777" w:rsidR="004D5CC3" w:rsidRPr="00124B9A" w:rsidRDefault="004D5CC3" w:rsidP="004D5CC3">
      <w:pPr>
        <w:rPr>
          <w:rFonts w:cs="Arial"/>
          <w:szCs w:val="20"/>
        </w:rPr>
      </w:pPr>
      <w:r w:rsidRPr="00124B9A">
        <w:rPr>
          <w:rFonts w:cs="Arial"/>
          <w:szCs w:val="20"/>
        </w:rPr>
        <w:tab/>
      </w:r>
      <w:r w:rsidRPr="00124B9A">
        <w:rPr>
          <w:rFonts w:cs="Arial"/>
          <w:szCs w:val="20"/>
        </w:rPr>
        <w:tab/>
        <w:t>+ ___ Detected (specify variant</w:t>
      </w:r>
      <w:r w:rsidR="005D32E8" w:rsidRPr="00124B9A">
        <w:rPr>
          <w:rFonts w:cs="Arial"/>
          <w:szCs w:val="20"/>
        </w:rPr>
        <w:t>): _________________________</w:t>
      </w:r>
    </w:p>
    <w:p w14:paraId="20185FA0" w14:textId="77777777" w:rsidR="00363FF0" w:rsidRPr="00124B9A" w:rsidRDefault="00363FF0" w:rsidP="00363FF0">
      <w:pPr>
        <w:rPr>
          <w:rFonts w:cs="Arial"/>
          <w:szCs w:val="20"/>
        </w:rPr>
      </w:pPr>
      <w:r w:rsidRPr="00124B9A">
        <w:rPr>
          <w:rFonts w:cs="Arial"/>
          <w:szCs w:val="20"/>
        </w:rPr>
        <w:tab/>
        <w:t>+ ___ Other gene mutation(s) (specify): _________________________________</w:t>
      </w:r>
    </w:p>
    <w:p w14:paraId="62193432" w14:textId="77777777" w:rsidR="00363FF0" w:rsidRPr="00124B9A" w:rsidRDefault="00363FF0" w:rsidP="00363FF0">
      <w:pPr>
        <w:ind w:left="1440"/>
        <w:rPr>
          <w:rFonts w:cs="Arial"/>
          <w:szCs w:val="20"/>
        </w:rPr>
      </w:pPr>
      <w:r w:rsidRPr="00124B9A">
        <w:rPr>
          <w:rFonts w:cs="Arial"/>
          <w:szCs w:val="20"/>
        </w:rPr>
        <w:t>+ ___ Not detected</w:t>
      </w:r>
    </w:p>
    <w:p w14:paraId="7BF44F68" w14:textId="77777777" w:rsidR="00363FF0" w:rsidRPr="00124B9A" w:rsidRDefault="00363FF0" w:rsidP="004D5CC3">
      <w:pPr>
        <w:rPr>
          <w:rFonts w:cs="Arial"/>
          <w:szCs w:val="20"/>
        </w:rPr>
      </w:pPr>
      <w:r w:rsidRPr="00124B9A">
        <w:rPr>
          <w:rFonts w:cs="Arial"/>
          <w:szCs w:val="20"/>
        </w:rPr>
        <w:tab/>
      </w:r>
      <w:r w:rsidRPr="00124B9A">
        <w:rPr>
          <w:rFonts w:cs="Arial"/>
          <w:szCs w:val="20"/>
        </w:rPr>
        <w:tab/>
        <w:t>+ ___ Detected (specify variant): _________________________</w:t>
      </w:r>
    </w:p>
    <w:p w14:paraId="6697428A" w14:textId="02DB4267" w:rsidR="004D5CC3" w:rsidRPr="00124B9A" w:rsidRDefault="004D5CC3" w:rsidP="004D5CC3">
      <w:pPr>
        <w:autoSpaceDE w:val="0"/>
        <w:autoSpaceDN w:val="0"/>
        <w:adjustRightInd w:val="0"/>
        <w:rPr>
          <w:rFonts w:cs="Arial"/>
          <w:szCs w:val="20"/>
        </w:rPr>
      </w:pPr>
      <w:r w:rsidRPr="00124B9A">
        <w:rPr>
          <w:rFonts w:cs="Arial"/>
          <w:szCs w:val="20"/>
        </w:rPr>
        <w:t>+ Other markers tested</w:t>
      </w:r>
    </w:p>
    <w:p w14:paraId="53E0886A" w14:textId="77777777" w:rsidR="004D5CC3" w:rsidRPr="00124B9A" w:rsidRDefault="004D5CC3" w:rsidP="004D5CC3">
      <w:pPr>
        <w:autoSpaceDE w:val="0"/>
        <w:autoSpaceDN w:val="0"/>
        <w:adjustRightInd w:val="0"/>
        <w:rPr>
          <w:rFonts w:cs="Arial"/>
          <w:szCs w:val="20"/>
        </w:rPr>
      </w:pPr>
      <w:r w:rsidRPr="00124B9A">
        <w:rPr>
          <w:rFonts w:cs="Arial"/>
          <w:szCs w:val="20"/>
        </w:rPr>
        <w:tab/>
        <w:t>+ Specify marker: ________________</w:t>
      </w:r>
      <w:r w:rsidR="005D32E8" w:rsidRPr="00124B9A">
        <w:rPr>
          <w:rFonts w:cs="Arial"/>
          <w:szCs w:val="20"/>
        </w:rPr>
        <w:t>___</w:t>
      </w:r>
    </w:p>
    <w:p w14:paraId="67DE3401" w14:textId="77777777" w:rsidR="004D5CC3" w:rsidRPr="00124B9A" w:rsidRDefault="004D5CC3" w:rsidP="004D5CC3">
      <w:pPr>
        <w:rPr>
          <w:rFonts w:cs="Arial"/>
          <w:szCs w:val="20"/>
        </w:rPr>
      </w:pPr>
      <w:r w:rsidRPr="00124B9A">
        <w:rPr>
          <w:rFonts w:cs="Arial"/>
          <w:szCs w:val="20"/>
        </w:rPr>
        <w:tab/>
        <w:t>+ Specify results: ____________________</w:t>
      </w:r>
    </w:p>
    <w:p w14:paraId="527E00F9" w14:textId="77777777" w:rsidR="004D5CC3" w:rsidRPr="00124B9A" w:rsidRDefault="004D5CC3" w:rsidP="004D5CC3">
      <w:pPr>
        <w:rPr>
          <w:rFonts w:cs="Arial"/>
          <w:szCs w:val="20"/>
        </w:rPr>
      </w:pPr>
    </w:p>
    <w:p w14:paraId="46F83EE7" w14:textId="77777777" w:rsidR="005D32E8" w:rsidRPr="00124B9A" w:rsidRDefault="005D32E8" w:rsidP="004D5CC3">
      <w:pPr>
        <w:rPr>
          <w:rFonts w:cs="Arial"/>
          <w:szCs w:val="20"/>
        </w:rPr>
      </w:pPr>
    </w:p>
    <w:p w14:paraId="3C91F3B8" w14:textId="77777777" w:rsidR="004D5CC3" w:rsidRPr="00124B9A" w:rsidRDefault="004D5CC3" w:rsidP="004D5CC3">
      <w:pPr>
        <w:rPr>
          <w:rFonts w:cs="Arial"/>
          <w:b/>
          <w:szCs w:val="20"/>
        </w:rPr>
      </w:pPr>
      <w:r w:rsidRPr="00124B9A">
        <w:rPr>
          <w:rFonts w:cs="Arial"/>
          <w:b/>
          <w:szCs w:val="20"/>
        </w:rPr>
        <w:t xml:space="preserve">+ METHODS </w:t>
      </w:r>
    </w:p>
    <w:p w14:paraId="463F9E7A" w14:textId="77777777" w:rsidR="004D5CC3" w:rsidRPr="00124B9A" w:rsidRDefault="004D5CC3" w:rsidP="004D5CC3">
      <w:pPr>
        <w:rPr>
          <w:rFonts w:cs="Arial"/>
          <w:szCs w:val="20"/>
        </w:rPr>
      </w:pPr>
    </w:p>
    <w:p w14:paraId="11AF96D9" w14:textId="77777777" w:rsidR="00EC3DDF" w:rsidRPr="00124B9A" w:rsidRDefault="00EC3DDF" w:rsidP="00EC3DDF">
      <w:pPr>
        <w:rPr>
          <w:rFonts w:cs="Arial"/>
          <w:b/>
          <w:szCs w:val="20"/>
        </w:rPr>
      </w:pPr>
      <w:r w:rsidRPr="00124B9A">
        <w:rPr>
          <w:rFonts w:cs="Arial"/>
          <w:b/>
          <w:szCs w:val="20"/>
        </w:rPr>
        <w:t>+ Chromosomal Abnormalities</w:t>
      </w:r>
    </w:p>
    <w:p w14:paraId="183AC539" w14:textId="77777777" w:rsidR="00EC3DDF" w:rsidRPr="00124B9A" w:rsidRDefault="00EC3DDF" w:rsidP="00EC3DDF">
      <w:pPr>
        <w:rPr>
          <w:rFonts w:cs="Arial"/>
          <w:szCs w:val="20"/>
        </w:rPr>
      </w:pPr>
      <w:r w:rsidRPr="00124B9A">
        <w:rPr>
          <w:rFonts w:cs="Arial"/>
          <w:szCs w:val="20"/>
        </w:rPr>
        <w:t>+</w:t>
      </w:r>
      <w:r w:rsidR="00877ACD" w:rsidRPr="00124B9A">
        <w:rPr>
          <w:rFonts w:cs="Arial"/>
          <w:szCs w:val="20"/>
        </w:rPr>
        <w:t xml:space="preserve"> </w:t>
      </w:r>
      <w:r w:rsidRPr="00124B9A">
        <w:rPr>
          <w:rFonts w:cs="Arial"/>
          <w:szCs w:val="20"/>
        </w:rPr>
        <w:t>___ Chromosomal array</w:t>
      </w:r>
    </w:p>
    <w:p w14:paraId="21ACCCA3" w14:textId="77777777" w:rsidR="00EC3DDF" w:rsidRPr="00124B9A" w:rsidRDefault="00E90003" w:rsidP="00EC3DDF">
      <w:pPr>
        <w:rPr>
          <w:rFonts w:cs="Arial"/>
          <w:szCs w:val="20"/>
        </w:rPr>
      </w:pPr>
      <w:r w:rsidRPr="00124B9A">
        <w:rPr>
          <w:rFonts w:cs="Arial"/>
          <w:szCs w:val="20"/>
        </w:rPr>
        <w:t>+</w:t>
      </w:r>
      <w:r w:rsidR="00877ACD" w:rsidRPr="00124B9A">
        <w:rPr>
          <w:rFonts w:cs="Arial"/>
          <w:szCs w:val="20"/>
        </w:rPr>
        <w:t xml:space="preserve"> ___ Fl</w:t>
      </w:r>
      <w:r w:rsidRPr="00124B9A">
        <w:rPr>
          <w:rFonts w:cs="Arial"/>
          <w:szCs w:val="20"/>
        </w:rPr>
        <w:t>u</w:t>
      </w:r>
      <w:r w:rsidR="00877ACD" w:rsidRPr="00124B9A">
        <w:rPr>
          <w:rFonts w:cs="Arial"/>
          <w:szCs w:val="20"/>
        </w:rPr>
        <w:t>o</w:t>
      </w:r>
      <w:r w:rsidRPr="00124B9A">
        <w:rPr>
          <w:rFonts w:cs="Arial"/>
          <w:szCs w:val="20"/>
        </w:rPr>
        <w:t xml:space="preserve">rescence in </w:t>
      </w:r>
      <w:r w:rsidR="00877ACD" w:rsidRPr="00124B9A">
        <w:rPr>
          <w:rFonts w:cs="Arial"/>
          <w:szCs w:val="20"/>
        </w:rPr>
        <w:t>situ hyb</w:t>
      </w:r>
      <w:r w:rsidR="00EC3DDF" w:rsidRPr="00124B9A">
        <w:rPr>
          <w:rFonts w:cs="Arial"/>
          <w:szCs w:val="20"/>
        </w:rPr>
        <w:t>ridization (FISH)</w:t>
      </w:r>
    </w:p>
    <w:p w14:paraId="7D335424" w14:textId="77777777" w:rsidR="00EC3DDF" w:rsidRPr="00124B9A" w:rsidRDefault="00E90003" w:rsidP="00EC3DDF">
      <w:pPr>
        <w:rPr>
          <w:rFonts w:cs="Arial"/>
          <w:szCs w:val="20"/>
        </w:rPr>
      </w:pPr>
      <w:r w:rsidRPr="00124B9A">
        <w:rPr>
          <w:rFonts w:cs="Arial"/>
          <w:szCs w:val="20"/>
        </w:rPr>
        <w:t>+</w:t>
      </w:r>
      <w:r w:rsidR="00877ACD" w:rsidRPr="00124B9A">
        <w:rPr>
          <w:rFonts w:cs="Arial"/>
          <w:szCs w:val="20"/>
        </w:rPr>
        <w:t xml:space="preserve"> </w:t>
      </w:r>
      <w:r w:rsidRPr="00124B9A">
        <w:rPr>
          <w:rFonts w:cs="Arial"/>
          <w:szCs w:val="20"/>
        </w:rPr>
        <w:t>___ Conventional k</w:t>
      </w:r>
      <w:r w:rsidR="00EC3DDF" w:rsidRPr="00124B9A">
        <w:rPr>
          <w:rFonts w:cs="Arial"/>
          <w:szCs w:val="20"/>
        </w:rPr>
        <w:t>aryotype</w:t>
      </w:r>
    </w:p>
    <w:p w14:paraId="352FDB7F" w14:textId="77777777" w:rsidR="00EC3DDF" w:rsidRPr="00124B9A" w:rsidRDefault="00EC3DDF" w:rsidP="004D5CC3">
      <w:pPr>
        <w:rPr>
          <w:rFonts w:cs="Arial"/>
          <w:szCs w:val="20"/>
        </w:rPr>
      </w:pPr>
    </w:p>
    <w:p w14:paraId="080458B4" w14:textId="77777777" w:rsidR="004D5CC3" w:rsidRPr="00124B9A" w:rsidRDefault="004D5CC3" w:rsidP="004D5CC3">
      <w:pPr>
        <w:rPr>
          <w:rFonts w:cs="Arial"/>
          <w:b/>
          <w:szCs w:val="20"/>
        </w:rPr>
      </w:pPr>
      <w:r w:rsidRPr="00124B9A">
        <w:rPr>
          <w:rFonts w:cs="Arial"/>
          <w:b/>
          <w:szCs w:val="20"/>
        </w:rPr>
        <w:t>+ Molecular Testing</w:t>
      </w:r>
    </w:p>
    <w:p w14:paraId="29CBA265" w14:textId="77777777" w:rsidR="004D5CC3" w:rsidRPr="00124B9A" w:rsidRDefault="004D5CC3" w:rsidP="004D5CC3">
      <w:pPr>
        <w:rPr>
          <w:rFonts w:cs="Arial"/>
          <w:szCs w:val="20"/>
        </w:rPr>
      </w:pPr>
      <w:r w:rsidRPr="00124B9A">
        <w:rPr>
          <w:rFonts w:cs="Arial"/>
          <w:szCs w:val="20"/>
        </w:rPr>
        <w:t>+ Array platform: ______________________________</w:t>
      </w:r>
    </w:p>
    <w:p w14:paraId="0421CE98" w14:textId="4BC68276" w:rsidR="004D5CC3" w:rsidRPr="00124B9A" w:rsidRDefault="004D5CC3" w:rsidP="004D5CC3">
      <w:pPr>
        <w:ind w:left="720"/>
        <w:rPr>
          <w:rFonts w:cs="Arial"/>
          <w:szCs w:val="20"/>
        </w:rPr>
      </w:pPr>
      <w:r w:rsidRPr="00124B9A">
        <w:rPr>
          <w:rFonts w:cs="Arial"/>
          <w:szCs w:val="20"/>
        </w:rPr>
        <w:t>+ Minimum size of detected copy number variation (CNV): _______</w:t>
      </w:r>
      <w:r w:rsidR="00D8171C">
        <w:rPr>
          <w:rFonts w:cs="Arial"/>
          <w:szCs w:val="20"/>
        </w:rPr>
        <w:t xml:space="preserve"> kbp</w:t>
      </w:r>
    </w:p>
    <w:p w14:paraId="1FFF3ECA" w14:textId="77777777" w:rsidR="004D5CC3" w:rsidRPr="00124B9A" w:rsidRDefault="004D5CC3" w:rsidP="004D5CC3">
      <w:pPr>
        <w:rPr>
          <w:rFonts w:cs="Arial"/>
          <w:szCs w:val="20"/>
        </w:rPr>
      </w:pPr>
      <w:r w:rsidRPr="00124B9A">
        <w:rPr>
          <w:rFonts w:cs="Arial"/>
          <w:szCs w:val="20"/>
        </w:rPr>
        <w:t>+ Gene sequencing platform: ______________________________</w:t>
      </w:r>
    </w:p>
    <w:p w14:paraId="1E188D3F" w14:textId="7BB9415B" w:rsidR="004D5CC3" w:rsidRPr="00124B9A" w:rsidRDefault="004D5CC3" w:rsidP="004D5CC3">
      <w:pPr>
        <w:ind w:left="720"/>
        <w:rPr>
          <w:rFonts w:cs="Arial"/>
          <w:szCs w:val="20"/>
        </w:rPr>
      </w:pPr>
      <w:r w:rsidRPr="00124B9A">
        <w:rPr>
          <w:rFonts w:cs="Arial"/>
          <w:szCs w:val="20"/>
        </w:rPr>
        <w:t>+ Maximum sensitivity</w:t>
      </w:r>
      <w:r w:rsidR="00124B9A" w:rsidRPr="00124B9A">
        <w:rPr>
          <w:rFonts w:cs="Arial"/>
          <w:szCs w:val="20"/>
        </w:rPr>
        <w:t xml:space="preserve"> </w:t>
      </w:r>
      <w:r w:rsidR="009D6904" w:rsidRPr="00124B9A">
        <w:rPr>
          <w:rFonts w:cs="Arial"/>
          <w:szCs w:val="20"/>
        </w:rPr>
        <w:t>(variant allele frequency)</w:t>
      </w:r>
      <w:r w:rsidRPr="00124B9A">
        <w:rPr>
          <w:rFonts w:cs="Arial"/>
          <w:szCs w:val="20"/>
        </w:rPr>
        <w:t xml:space="preserve">: ______________________________ </w:t>
      </w:r>
    </w:p>
    <w:p w14:paraId="2EEF76C4" w14:textId="77777777" w:rsidR="004D5CC3" w:rsidRPr="00124B9A" w:rsidRDefault="004D5CC3" w:rsidP="004D5CC3">
      <w:pPr>
        <w:ind w:left="720"/>
        <w:rPr>
          <w:rFonts w:cs="Arial"/>
          <w:szCs w:val="20"/>
        </w:rPr>
      </w:pPr>
      <w:r w:rsidRPr="00124B9A">
        <w:rPr>
          <w:rFonts w:cs="Arial"/>
          <w:szCs w:val="20"/>
        </w:rPr>
        <w:t>+ Genes/exons sequenced: ______________________________</w:t>
      </w:r>
    </w:p>
    <w:p w14:paraId="33ABFE9E" w14:textId="77777777" w:rsidR="004D5CC3" w:rsidRPr="00124B9A" w:rsidRDefault="004D5CC3" w:rsidP="004D5CC3">
      <w:pPr>
        <w:rPr>
          <w:rFonts w:cs="Arial"/>
          <w:szCs w:val="20"/>
        </w:rPr>
      </w:pPr>
    </w:p>
    <w:p w14:paraId="6853BCD3" w14:textId="77777777" w:rsidR="004D5CC3" w:rsidRPr="00124B9A" w:rsidRDefault="004D5CC3" w:rsidP="004D5CC3">
      <w:pPr>
        <w:rPr>
          <w:rFonts w:cs="Arial"/>
          <w:b/>
          <w:szCs w:val="20"/>
        </w:rPr>
      </w:pPr>
      <w:r w:rsidRPr="00124B9A">
        <w:rPr>
          <w:rFonts w:cs="Arial"/>
          <w:b/>
          <w:szCs w:val="20"/>
        </w:rPr>
        <w:t>+ Protein Expression</w:t>
      </w:r>
      <w:r w:rsidR="00EC3DDF" w:rsidRPr="00124B9A">
        <w:rPr>
          <w:rFonts w:cs="Arial"/>
          <w:b/>
          <w:szCs w:val="20"/>
        </w:rPr>
        <w:t xml:space="preserve"> (Note</w:t>
      </w:r>
      <w:r w:rsidR="00877ACD" w:rsidRPr="00124B9A">
        <w:rPr>
          <w:rFonts w:cs="Arial"/>
          <w:b/>
          <w:szCs w:val="20"/>
        </w:rPr>
        <w:t>s</w:t>
      </w:r>
      <w:r w:rsidR="00EC3DDF" w:rsidRPr="00124B9A">
        <w:rPr>
          <w:rFonts w:cs="Arial"/>
          <w:b/>
          <w:szCs w:val="20"/>
        </w:rPr>
        <w:t xml:space="preserve"> C and D)</w:t>
      </w:r>
    </w:p>
    <w:p w14:paraId="6F7FEB27" w14:textId="77777777" w:rsidR="00EC3DDF" w:rsidRPr="00124B9A" w:rsidRDefault="00E90003" w:rsidP="00EC3DDF">
      <w:pPr>
        <w:keepNext/>
        <w:rPr>
          <w:rFonts w:cs="Arial"/>
          <w:szCs w:val="20"/>
        </w:rPr>
      </w:pPr>
      <w:r w:rsidRPr="00124B9A">
        <w:rPr>
          <w:rFonts w:cs="Arial"/>
          <w:szCs w:val="20"/>
        </w:rPr>
        <w:t>+ ___ Flow c</w:t>
      </w:r>
      <w:r w:rsidR="00EC3DDF" w:rsidRPr="00124B9A">
        <w:rPr>
          <w:rFonts w:cs="Arial"/>
          <w:szCs w:val="20"/>
        </w:rPr>
        <w:t>ytometry</w:t>
      </w:r>
    </w:p>
    <w:p w14:paraId="196D24B7" w14:textId="77777777" w:rsidR="00EC3DDF" w:rsidRPr="00124B9A" w:rsidRDefault="00EC3DDF" w:rsidP="00EC3DDF">
      <w:pPr>
        <w:keepNext/>
        <w:rPr>
          <w:rFonts w:cs="Arial"/>
          <w:szCs w:val="20"/>
        </w:rPr>
      </w:pPr>
      <w:r w:rsidRPr="00124B9A">
        <w:rPr>
          <w:rFonts w:cs="Arial"/>
          <w:szCs w:val="20"/>
        </w:rPr>
        <w:t>+ ___ Immunohistochemistry</w:t>
      </w:r>
    </w:p>
    <w:p w14:paraId="0B26498A" w14:textId="77777777" w:rsidR="00EC3DDF" w:rsidRPr="00124B9A" w:rsidRDefault="00EC3DDF" w:rsidP="00EC3DDF">
      <w:pPr>
        <w:keepNext/>
        <w:rPr>
          <w:rFonts w:cs="Arial"/>
          <w:szCs w:val="20"/>
        </w:rPr>
      </w:pPr>
    </w:p>
    <w:p w14:paraId="56DFEA6E" w14:textId="77777777" w:rsidR="004D5CC3" w:rsidRPr="00124B9A" w:rsidRDefault="004D5CC3" w:rsidP="004D5CC3">
      <w:pPr>
        <w:rPr>
          <w:rFonts w:cs="Arial"/>
          <w:szCs w:val="20"/>
        </w:rPr>
      </w:pPr>
      <w:r w:rsidRPr="00124B9A">
        <w:rPr>
          <w:rFonts w:cs="Arial"/>
          <w:szCs w:val="20"/>
        </w:rPr>
        <w:t>+ ZAP-70 positive threshold: ____________________</w:t>
      </w:r>
    </w:p>
    <w:p w14:paraId="673159BF" w14:textId="77777777" w:rsidR="004D5CC3" w:rsidRPr="00124B9A" w:rsidRDefault="004D5CC3" w:rsidP="004D5CC3">
      <w:pPr>
        <w:rPr>
          <w:rFonts w:cs="Arial"/>
          <w:szCs w:val="20"/>
        </w:rPr>
      </w:pPr>
      <w:r w:rsidRPr="00124B9A">
        <w:rPr>
          <w:rFonts w:cs="Arial"/>
          <w:szCs w:val="20"/>
        </w:rPr>
        <w:t>+ CD38 positive threshold: ____________________</w:t>
      </w:r>
    </w:p>
    <w:p w14:paraId="6B4CE1C8" w14:textId="77777777" w:rsidR="004D5CC3" w:rsidRPr="00124B9A" w:rsidRDefault="004D5CC3" w:rsidP="004D5CC3">
      <w:pPr>
        <w:rPr>
          <w:rFonts w:cs="Arial"/>
          <w:szCs w:val="20"/>
        </w:rPr>
      </w:pPr>
    </w:p>
    <w:p w14:paraId="7F7E96FC" w14:textId="77777777" w:rsidR="004D5CC3" w:rsidRPr="00124B9A" w:rsidRDefault="004D5CC3" w:rsidP="003735C9">
      <w:pPr>
        <w:pStyle w:val="Heading2"/>
        <w:keepNext w:val="0"/>
        <w:rPr>
          <w:rFonts w:ascii="Arial" w:hAnsi="Arial" w:cs="Arial"/>
          <w:sz w:val="20"/>
          <w:szCs w:val="20"/>
        </w:rPr>
      </w:pPr>
    </w:p>
    <w:p w14:paraId="36733FF4" w14:textId="77777777" w:rsidR="00E41996" w:rsidRPr="00124B9A" w:rsidRDefault="00E41996" w:rsidP="00E41996">
      <w:pPr>
        <w:pStyle w:val="NormalWeb"/>
        <w:keepNext/>
        <w:shd w:val="clear" w:color="auto" w:fill="FFFFFF"/>
        <w:spacing w:before="0" w:beforeAutospacing="0" w:after="0" w:afterAutospacing="0"/>
        <w:rPr>
          <w:rFonts w:cs="Arial"/>
        </w:rPr>
      </w:pPr>
      <w:r w:rsidRPr="00124B9A">
        <w:rPr>
          <w:rFonts w:cs="Arial"/>
          <w:b/>
        </w:rPr>
        <w:t>+ COMMENT(S)</w:t>
      </w:r>
    </w:p>
    <w:p w14:paraId="7E693799" w14:textId="77777777" w:rsidR="00E41996" w:rsidRPr="00124B9A" w:rsidRDefault="00E41996" w:rsidP="00E41996">
      <w:pPr>
        <w:pStyle w:val="NormalWeb"/>
        <w:keepNext/>
        <w:shd w:val="clear" w:color="auto" w:fill="FFFFFF"/>
        <w:spacing w:before="0" w:beforeAutospacing="0" w:after="0" w:afterAutospacing="0"/>
        <w:rPr>
          <w:rFonts w:cs="Arial"/>
        </w:rPr>
      </w:pPr>
      <w:r w:rsidRPr="00124B9A">
        <w:rPr>
          <w:rFonts w:cs="Arial"/>
        </w:rPr>
        <w:t xml:space="preserve">   ____________________________________________________________________</w:t>
      </w:r>
    </w:p>
    <w:p w14:paraId="2586DF1F" w14:textId="77777777" w:rsidR="00E41996" w:rsidRPr="00124B9A" w:rsidRDefault="00E41996" w:rsidP="00E41996">
      <w:pPr>
        <w:pStyle w:val="NormalWeb"/>
        <w:keepNext/>
        <w:shd w:val="clear" w:color="auto" w:fill="FFFFFF"/>
        <w:spacing w:before="0" w:beforeAutospacing="0" w:after="0" w:afterAutospacing="0"/>
        <w:rPr>
          <w:rFonts w:cs="Arial"/>
        </w:rPr>
      </w:pPr>
      <w:r w:rsidRPr="00124B9A">
        <w:rPr>
          <w:rFonts w:cs="Arial"/>
        </w:rPr>
        <w:t xml:space="preserve">   ____________________________________________________________________</w:t>
      </w:r>
    </w:p>
    <w:p w14:paraId="422A6986" w14:textId="77777777" w:rsidR="00E41996" w:rsidRPr="00124B9A" w:rsidRDefault="00E41996" w:rsidP="00E41996">
      <w:pPr>
        <w:rPr>
          <w:rFonts w:cs="Arial"/>
        </w:rPr>
      </w:pPr>
    </w:p>
    <w:p w14:paraId="701F1B89" w14:textId="77777777" w:rsidR="00E41996" w:rsidRPr="00124B9A" w:rsidRDefault="00E41996" w:rsidP="00E41996">
      <w:pPr>
        <w:rPr>
          <w:rFonts w:cs="Arial"/>
          <w:i/>
        </w:rPr>
      </w:pPr>
      <w:r w:rsidRPr="00124B9A">
        <w:rPr>
          <w:rFonts w:cs="Arial"/>
          <w:i/>
        </w:rPr>
        <w:lastRenderedPageBreak/>
        <w:t>Gene names should follow recommendations of The Human Genome Organisation (HUGO) Nomenclature Committee (www.genenames.org; accessed February 10, 2015).</w:t>
      </w:r>
    </w:p>
    <w:p w14:paraId="74703926" w14:textId="77777777" w:rsidR="00E41996" w:rsidRPr="00124B9A" w:rsidRDefault="00E41996" w:rsidP="00E41996">
      <w:pPr>
        <w:rPr>
          <w:rFonts w:cs="Arial"/>
          <w:i/>
        </w:rPr>
      </w:pPr>
    </w:p>
    <w:p w14:paraId="5E37EB65" w14:textId="22C10904" w:rsidR="003735C9" w:rsidRDefault="00E41996" w:rsidP="00E41996">
      <w:pPr>
        <w:rPr>
          <w:rFonts w:cs="Arial"/>
          <w:i/>
        </w:rPr>
      </w:pPr>
      <w:r w:rsidRPr="00124B9A">
        <w:rPr>
          <w:rFonts w:cs="Arial"/>
          <w:i/>
        </w:rPr>
        <w:t>All reported gene sequence variations should be identified following the recommendations of the Human Genome Variation Society (www.hgvs.org/mutnomen/; accessed February 10, 2015).</w:t>
      </w:r>
    </w:p>
    <w:p w14:paraId="6283B285" w14:textId="77777777" w:rsidR="00847B5D" w:rsidRDefault="00847B5D" w:rsidP="00E41996">
      <w:pPr>
        <w:rPr>
          <w:rFonts w:cs="Arial"/>
          <w:i/>
        </w:rPr>
      </w:pPr>
    </w:p>
    <w:p w14:paraId="4E262BAD" w14:textId="77777777" w:rsidR="00847B5D" w:rsidRPr="00D5675D" w:rsidRDefault="00847B5D" w:rsidP="00847B5D">
      <w:pPr>
        <w:rPr>
          <w:rFonts w:cs="Arial"/>
          <w:i/>
        </w:rPr>
      </w:pPr>
      <w:r w:rsidRPr="00D5675D">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716490E0" w14:textId="77777777" w:rsidR="00847B5D" w:rsidRDefault="00847B5D" w:rsidP="00E41996">
      <w:pPr>
        <w:rPr>
          <w:rFonts w:cs="Arial"/>
          <w:i/>
        </w:rPr>
      </w:pPr>
    </w:p>
    <w:p w14:paraId="224E5B15" w14:textId="77777777" w:rsidR="003735C9" w:rsidRPr="00124B9A" w:rsidRDefault="003735C9" w:rsidP="00E41996">
      <w:pPr>
        <w:rPr>
          <w:rFonts w:cs="Arial"/>
          <w:i/>
        </w:rPr>
      </w:pPr>
    </w:p>
    <w:p w14:paraId="018FEAD8" w14:textId="77777777" w:rsidR="00430864" w:rsidRPr="003735C9" w:rsidRDefault="00430864">
      <w:pPr>
        <w:rPr>
          <w:rFonts w:cs="Arial"/>
        </w:rPr>
        <w:sectPr w:rsidR="00430864" w:rsidRPr="003735C9">
          <w:headerReference w:type="default" r:id="rId14"/>
          <w:footerReference w:type="default" r:id="rId15"/>
          <w:pgSz w:w="12240" w:h="15840" w:code="1"/>
          <w:pgMar w:top="1440" w:right="1080" w:bottom="1440" w:left="1080" w:header="720" w:footer="720" w:gutter="0"/>
          <w:cols w:space="720"/>
          <w:docGrid w:linePitch="360"/>
        </w:sectPr>
      </w:pPr>
    </w:p>
    <w:p w14:paraId="09310F87" w14:textId="77777777" w:rsidR="004D5CC3" w:rsidRPr="00124B9A" w:rsidRDefault="004D5CC3" w:rsidP="004D5CC3">
      <w:pPr>
        <w:pStyle w:val="Heading2"/>
        <w:pBdr>
          <w:bottom w:val="single" w:sz="4" w:space="1" w:color="auto"/>
        </w:pBdr>
        <w:rPr>
          <w:rFonts w:ascii="Arial" w:hAnsi="Arial" w:cs="Arial"/>
          <w:sz w:val="26"/>
          <w:szCs w:val="26"/>
          <w:u w:val="none"/>
        </w:rPr>
      </w:pPr>
      <w:r w:rsidRPr="00124B9A">
        <w:rPr>
          <w:rFonts w:ascii="Arial" w:hAnsi="Arial" w:cs="Arial"/>
          <w:sz w:val="26"/>
          <w:szCs w:val="26"/>
          <w:u w:val="none"/>
        </w:rPr>
        <w:t xml:space="preserve">Explanatory Notes </w:t>
      </w:r>
    </w:p>
    <w:p w14:paraId="3A2D6438" w14:textId="77777777" w:rsidR="004D5CC3" w:rsidRPr="00124B9A" w:rsidRDefault="004D5CC3" w:rsidP="004D5CC3">
      <w:pPr>
        <w:rPr>
          <w:rFonts w:cs="Arial"/>
        </w:rPr>
      </w:pPr>
    </w:p>
    <w:p w14:paraId="7A6A83D5" w14:textId="77777777" w:rsidR="00EC3DDF" w:rsidRPr="00124B9A" w:rsidRDefault="00EC3DDF" w:rsidP="004D5CC3">
      <w:pPr>
        <w:rPr>
          <w:rFonts w:cs="Arial"/>
          <w:b/>
          <w:szCs w:val="20"/>
        </w:rPr>
      </w:pPr>
      <w:r w:rsidRPr="00124B9A">
        <w:rPr>
          <w:rFonts w:cs="Arial"/>
          <w:b/>
          <w:szCs w:val="20"/>
        </w:rPr>
        <w:t>A. Introduction</w:t>
      </w:r>
    </w:p>
    <w:p w14:paraId="63506F79" w14:textId="77777777" w:rsidR="004D5CC3" w:rsidRPr="00124B9A" w:rsidRDefault="004D5CC3" w:rsidP="004D5CC3">
      <w:pPr>
        <w:rPr>
          <w:rFonts w:cs="Arial"/>
          <w:szCs w:val="20"/>
        </w:rPr>
      </w:pPr>
      <w:r w:rsidRPr="00124B9A">
        <w:rPr>
          <w:rFonts w:cs="Arial"/>
          <w:szCs w:val="20"/>
        </w:rPr>
        <w:t>Somatic mutation in the rearranged variable regions of immunoglobulin heavy chains (IgVH) has been reported to be of prognostic importance since 1999.</w:t>
      </w:r>
      <w:r w:rsidRPr="00124B9A">
        <w:rPr>
          <w:rFonts w:cs="Arial"/>
          <w:szCs w:val="20"/>
          <w:vertAlign w:val="superscript"/>
        </w:rPr>
        <w:t xml:space="preserve">1,2  </w:t>
      </w:r>
      <w:r w:rsidRPr="00124B9A">
        <w:rPr>
          <w:rFonts w:cs="Arial"/>
          <w:szCs w:val="20"/>
        </w:rPr>
        <w:t>Patients with IgVH unmutated genes have a more aggressive disease and are more resistant to therapy than those with mutated IgVH genes. Most researchers defined unmutated IgVH based on 98% or more homology to reference and mutated IgVH with less than or equal to 97% homology to reference.</w:t>
      </w:r>
      <w:r w:rsidRPr="00124B9A">
        <w:rPr>
          <w:rFonts w:cs="Arial"/>
          <w:szCs w:val="20"/>
          <w:vertAlign w:val="superscript"/>
        </w:rPr>
        <w:t xml:space="preserve">3  </w:t>
      </w:r>
      <w:r w:rsidRPr="00124B9A">
        <w:rPr>
          <w:rFonts w:cs="Arial"/>
          <w:szCs w:val="20"/>
        </w:rPr>
        <w:t>Determining IgVH mutations requires specific equipment and is laborious, expensive, and time-consuming. Due to all these limitations, surrogate markers including CD38 and ZAP-70, with the similar prognostic value as IgVH mutation status are more widely used.</w:t>
      </w:r>
    </w:p>
    <w:p w14:paraId="1FD160C8" w14:textId="77777777" w:rsidR="004D5CC3" w:rsidRPr="00124B9A" w:rsidRDefault="004D5CC3" w:rsidP="004D5CC3">
      <w:pPr>
        <w:rPr>
          <w:rFonts w:cs="Arial"/>
          <w:szCs w:val="20"/>
        </w:rPr>
      </w:pPr>
    </w:p>
    <w:p w14:paraId="3E7A9ABE" w14:textId="77777777" w:rsidR="004D5CC3" w:rsidRPr="00124B9A" w:rsidRDefault="004D5CC3" w:rsidP="004D5CC3">
      <w:pPr>
        <w:pStyle w:val="Heading2"/>
        <w:rPr>
          <w:rFonts w:ascii="Arial" w:hAnsi="Arial" w:cs="Arial"/>
          <w:b w:val="0"/>
          <w:i/>
          <w:sz w:val="20"/>
          <w:szCs w:val="20"/>
          <w:u w:val="none"/>
        </w:rPr>
      </w:pPr>
      <w:r w:rsidRPr="00124B9A">
        <w:rPr>
          <w:rFonts w:ascii="Arial" w:hAnsi="Arial" w:cs="Arial"/>
          <w:b w:val="0"/>
          <w:i/>
          <w:sz w:val="20"/>
          <w:szCs w:val="20"/>
          <w:u w:val="none"/>
        </w:rPr>
        <w:t xml:space="preserve">Detection of immunoglobulin VH3-21 usage by sequencing of IgH rearrangements has been associated with poor outcome in CLL and should be reported when detected by IgH sequencing.  </w:t>
      </w:r>
    </w:p>
    <w:p w14:paraId="008F4CCF" w14:textId="77777777" w:rsidR="004D5CC3" w:rsidRPr="00124B9A" w:rsidRDefault="004D5CC3" w:rsidP="004D5CC3">
      <w:pPr>
        <w:rPr>
          <w:rFonts w:cs="Arial"/>
          <w:szCs w:val="20"/>
        </w:rPr>
      </w:pPr>
    </w:p>
    <w:p w14:paraId="14825640" w14:textId="77777777" w:rsidR="004D5CC3" w:rsidRPr="00124B9A" w:rsidRDefault="00EC3DDF" w:rsidP="004D5CC3">
      <w:pPr>
        <w:rPr>
          <w:rFonts w:cs="Arial"/>
          <w:b/>
          <w:szCs w:val="20"/>
        </w:rPr>
      </w:pPr>
      <w:r w:rsidRPr="00124B9A">
        <w:rPr>
          <w:rFonts w:cs="Arial"/>
          <w:b/>
          <w:szCs w:val="20"/>
        </w:rPr>
        <w:t xml:space="preserve">B. </w:t>
      </w:r>
      <w:r w:rsidR="004D5CC3" w:rsidRPr="00124B9A">
        <w:rPr>
          <w:rFonts w:cs="Arial"/>
          <w:b/>
          <w:szCs w:val="20"/>
        </w:rPr>
        <w:t>Prognosis in CLL FISH</w:t>
      </w:r>
    </w:p>
    <w:p w14:paraId="67339FCE" w14:textId="77777777" w:rsidR="004D5CC3" w:rsidRPr="00124B9A" w:rsidRDefault="004D5CC3" w:rsidP="004D5CC3">
      <w:pPr>
        <w:rPr>
          <w:rFonts w:cs="Arial"/>
          <w:szCs w:val="20"/>
        </w:rPr>
      </w:pPr>
      <w:r w:rsidRPr="00124B9A">
        <w:rPr>
          <w:rFonts w:cs="Arial"/>
          <w:szCs w:val="20"/>
        </w:rPr>
        <w:t xml:space="preserve">Del 11q contains several tumor suppressor genes including </w:t>
      </w:r>
      <w:r w:rsidRPr="00124B9A">
        <w:rPr>
          <w:rFonts w:cs="Arial"/>
          <w:i/>
          <w:szCs w:val="20"/>
        </w:rPr>
        <w:t>ATM.</w:t>
      </w:r>
      <w:r w:rsidRPr="00124B9A">
        <w:rPr>
          <w:rFonts w:cs="Arial"/>
          <w:szCs w:val="20"/>
          <w:vertAlign w:val="superscript"/>
        </w:rPr>
        <w:t>4,5</w:t>
      </w:r>
      <w:r w:rsidRPr="00124B9A">
        <w:rPr>
          <w:rFonts w:cs="Arial"/>
          <w:szCs w:val="20"/>
        </w:rPr>
        <w:t xml:space="preserve"> This gene is associated with cell cycle regulation and p53 pathway activation. </w:t>
      </w:r>
      <w:r w:rsidRPr="00124B9A">
        <w:rPr>
          <w:rFonts w:cs="Arial"/>
          <w:i/>
          <w:szCs w:val="20"/>
        </w:rPr>
        <w:t>BIRC3</w:t>
      </w:r>
      <w:r w:rsidRPr="00124B9A">
        <w:rPr>
          <w:rFonts w:cs="Arial"/>
          <w:szCs w:val="20"/>
        </w:rPr>
        <w:t xml:space="preserve">, which is also in the deleted region of interest, is a candidate gene that may also play a role in CLL pathobiology. Del 11q is associated with younger age and poor prognosis. </w:t>
      </w:r>
    </w:p>
    <w:p w14:paraId="42867CE9" w14:textId="77777777" w:rsidR="004D5CC3" w:rsidRPr="00124B9A" w:rsidRDefault="004D5CC3" w:rsidP="004D5CC3">
      <w:pPr>
        <w:rPr>
          <w:rFonts w:cs="Arial"/>
          <w:szCs w:val="20"/>
        </w:rPr>
      </w:pPr>
    </w:p>
    <w:p w14:paraId="3C72DB59" w14:textId="66F5CC17" w:rsidR="004D5CC3" w:rsidRPr="00124B9A" w:rsidRDefault="004D5CC3" w:rsidP="004D5CC3">
      <w:pPr>
        <w:rPr>
          <w:rFonts w:cs="Arial"/>
          <w:szCs w:val="20"/>
        </w:rPr>
      </w:pPr>
      <w:r w:rsidRPr="00124B9A">
        <w:rPr>
          <w:rFonts w:cs="Arial"/>
          <w:szCs w:val="20"/>
        </w:rPr>
        <w:t>Del 13q is often seen as a sole abnormality in CLL</w:t>
      </w:r>
      <w:r w:rsidR="00CD27C0">
        <w:rPr>
          <w:rFonts w:cs="Arial"/>
          <w:szCs w:val="20"/>
        </w:rPr>
        <w:t>.</w:t>
      </w:r>
      <w:r w:rsidRPr="00124B9A">
        <w:rPr>
          <w:rFonts w:cs="Arial"/>
          <w:szCs w:val="20"/>
          <w:vertAlign w:val="superscript"/>
        </w:rPr>
        <w:t>4,5</w:t>
      </w:r>
      <w:r w:rsidRPr="00124B9A">
        <w:rPr>
          <w:rFonts w:cs="Arial"/>
          <w:szCs w:val="20"/>
        </w:rPr>
        <w:t xml:space="preserve"> It is associated with a favorable prognosis.  Several genes and micro-RNAs (mRNA) have been suggested as candidate genes in these cases of CLL. </w:t>
      </w:r>
    </w:p>
    <w:p w14:paraId="1D55C3F8" w14:textId="77777777" w:rsidR="004D5CC3" w:rsidRPr="00124B9A" w:rsidRDefault="004D5CC3" w:rsidP="004D5CC3">
      <w:pPr>
        <w:rPr>
          <w:rFonts w:cs="Arial"/>
          <w:szCs w:val="20"/>
        </w:rPr>
      </w:pPr>
      <w:r w:rsidRPr="00124B9A">
        <w:rPr>
          <w:rFonts w:cs="Arial"/>
          <w:szCs w:val="20"/>
        </w:rPr>
        <w:t xml:space="preserve">Del 17p is thought to affect the </w:t>
      </w:r>
      <w:r w:rsidRPr="00124B9A">
        <w:rPr>
          <w:rFonts w:cs="Arial"/>
          <w:i/>
          <w:szCs w:val="20"/>
        </w:rPr>
        <w:t xml:space="preserve">TP53 </w:t>
      </w:r>
      <w:r w:rsidRPr="00124B9A">
        <w:rPr>
          <w:rFonts w:cs="Arial"/>
          <w:szCs w:val="20"/>
        </w:rPr>
        <w:t>gene, a key regulator of cell cycle.</w:t>
      </w:r>
      <w:r w:rsidRPr="00124B9A">
        <w:rPr>
          <w:rFonts w:cs="Arial"/>
          <w:szCs w:val="20"/>
          <w:vertAlign w:val="superscript"/>
        </w:rPr>
        <w:t>4,5</w:t>
      </w:r>
      <w:r w:rsidRPr="00124B9A">
        <w:rPr>
          <w:rFonts w:cs="Arial"/>
          <w:szCs w:val="20"/>
        </w:rPr>
        <w:t xml:space="preserve"> Other deleted genes may also play a role. Patients with del17p will often have other genetic abnormalities and other poor prognosis markers.  </w:t>
      </w:r>
    </w:p>
    <w:p w14:paraId="7E4BC460" w14:textId="77777777" w:rsidR="004D5CC3" w:rsidRPr="00124B9A" w:rsidRDefault="004D5CC3" w:rsidP="004D5CC3">
      <w:pPr>
        <w:rPr>
          <w:rFonts w:cs="Arial"/>
          <w:szCs w:val="20"/>
        </w:rPr>
      </w:pPr>
    </w:p>
    <w:p w14:paraId="3BB99B6C" w14:textId="77777777" w:rsidR="004D5CC3" w:rsidRPr="00124B9A" w:rsidRDefault="004D5CC3" w:rsidP="004D5CC3">
      <w:pPr>
        <w:rPr>
          <w:rFonts w:cs="Arial"/>
          <w:szCs w:val="20"/>
        </w:rPr>
      </w:pPr>
      <w:r w:rsidRPr="00124B9A">
        <w:rPr>
          <w:rFonts w:cs="Arial"/>
          <w:szCs w:val="20"/>
        </w:rPr>
        <w:t>Trisomy 12 (+12) affects CLL by an unknown mechanism.</w:t>
      </w:r>
      <w:r w:rsidRPr="00124B9A">
        <w:rPr>
          <w:rFonts w:cs="Arial"/>
          <w:szCs w:val="20"/>
          <w:vertAlign w:val="superscript"/>
        </w:rPr>
        <w:t>4,5</w:t>
      </w:r>
      <w:r w:rsidRPr="00124B9A">
        <w:rPr>
          <w:rFonts w:cs="Arial"/>
          <w:szCs w:val="20"/>
        </w:rPr>
        <w:t xml:space="preserve"> Patients with trisomy 12 have a good response to treatment. Some additional trisomies (+19, +19) are seen in association with trisomy 12. </w:t>
      </w:r>
    </w:p>
    <w:p w14:paraId="5A8C6483" w14:textId="77777777" w:rsidR="004D5CC3" w:rsidRPr="00124B9A" w:rsidRDefault="004D5CC3" w:rsidP="004D5CC3">
      <w:pPr>
        <w:rPr>
          <w:rFonts w:cs="Arial"/>
          <w:b/>
          <w:szCs w:val="20"/>
        </w:rPr>
      </w:pPr>
    </w:p>
    <w:tbl>
      <w:tblPr>
        <w:tblStyle w:val="TableGrid"/>
        <w:tblW w:w="0" w:type="auto"/>
        <w:tblInd w:w="108" w:type="dxa"/>
        <w:tblLook w:val="04A0" w:firstRow="1" w:lastRow="0" w:firstColumn="1" w:lastColumn="0" w:noHBand="0" w:noVBand="1"/>
      </w:tblPr>
      <w:tblGrid>
        <w:gridCol w:w="2314"/>
        <w:gridCol w:w="2498"/>
        <w:gridCol w:w="2474"/>
        <w:gridCol w:w="2182"/>
      </w:tblGrid>
      <w:tr w:rsidR="004D5CC3" w:rsidRPr="00124B9A" w14:paraId="6430D510" w14:textId="77777777">
        <w:tc>
          <w:tcPr>
            <w:tcW w:w="2314" w:type="dxa"/>
          </w:tcPr>
          <w:p w14:paraId="56F8CD1B" w14:textId="77777777" w:rsidR="004D5CC3" w:rsidRPr="00124B9A" w:rsidRDefault="004D5CC3" w:rsidP="00283716">
            <w:pPr>
              <w:rPr>
                <w:rFonts w:cs="Arial"/>
                <w:b/>
                <w:szCs w:val="20"/>
              </w:rPr>
            </w:pPr>
            <w:r w:rsidRPr="00124B9A">
              <w:rPr>
                <w:rFonts w:cs="Arial"/>
                <w:b/>
                <w:szCs w:val="20"/>
              </w:rPr>
              <w:t>Marker</w:t>
            </w:r>
          </w:p>
        </w:tc>
        <w:tc>
          <w:tcPr>
            <w:tcW w:w="2498" w:type="dxa"/>
          </w:tcPr>
          <w:p w14:paraId="21E164A5" w14:textId="77777777" w:rsidR="004D5CC3" w:rsidRPr="00124B9A" w:rsidRDefault="004D5CC3" w:rsidP="00283716">
            <w:pPr>
              <w:rPr>
                <w:rFonts w:cs="Arial"/>
                <w:b/>
                <w:szCs w:val="20"/>
              </w:rPr>
            </w:pPr>
            <w:r w:rsidRPr="00124B9A">
              <w:rPr>
                <w:rFonts w:cs="Arial"/>
                <w:b/>
                <w:szCs w:val="20"/>
              </w:rPr>
              <w:t>Approx. Frequency</w:t>
            </w:r>
          </w:p>
        </w:tc>
        <w:tc>
          <w:tcPr>
            <w:tcW w:w="2474" w:type="dxa"/>
          </w:tcPr>
          <w:p w14:paraId="5EDECDA1" w14:textId="77777777" w:rsidR="004D5CC3" w:rsidRPr="00124B9A" w:rsidRDefault="004D5CC3" w:rsidP="00283716">
            <w:pPr>
              <w:rPr>
                <w:rFonts w:cs="Arial"/>
                <w:b/>
                <w:szCs w:val="20"/>
              </w:rPr>
            </w:pPr>
            <w:r w:rsidRPr="00124B9A">
              <w:rPr>
                <w:rFonts w:cs="Arial"/>
                <w:b/>
                <w:szCs w:val="20"/>
              </w:rPr>
              <w:t>Prognosis</w:t>
            </w:r>
          </w:p>
        </w:tc>
        <w:tc>
          <w:tcPr>
            <w:tcW w:w="2182" w:type="dxa"/>
          </w:tcPr>
          <w:p w14:paraId="24838277" w14:textId="77777777" w:rsidR="004D5CC3" w:rsidRPr="00124B9A" w:rsidRDefault="004D5CC3" w:rsidP="00283716">
            <w:pPr>
              <w:rPr>
                <w:rFonts w:cs="Arial"/>
                <w:b/>
                <w:szCs w:val="20"/>
              </w:rPr>
            </w:pPr>
            <w:r w:rsidRPr="00124B9A">
              <w:rPr>
                <w:rFonts w:cs="Arial"/>
                <w:b/>
                <w:szCs w:val="20"/>
              </w:rPr>
              <w:t>Notes</w:t>
            </w:r>
          </w:p>
        </w:tc>
      </w:tr>
      <w:tr w:rsidR="004D5CC3" w:rsidRPr="00124B9A" w14:paraId="03612AA8" w14:textId="77777777">
        <w:tc>
          <w:tcPr>
            <w:tcW w:w="2314" w:type="dxa"/>
          </w:tcPr>
          <w:p w14:paraId="406AABBE" w14:textId="77777777" w:rsidR="004D5CC3" w:rsidRPr="00124B9A" w:rsidRDefault="004D5CC3" w:rsidP="00283716">
            <w:pPr>
              <w:rPr>
                <w:rFonts w:cs="Arial"/>
                <w:szCs w:val="20"/>
              </w:rPr>
            </w:pPr>
            <w:r w:rsidRPr="00124B9A">
              <w:rPr>
                <w:rFonts w:cs="Arial"/>
                <w:szCs w:val="20"/>
              </w:rPr>
              <w:t>Del 13q14</w:t>
            </w:r>
          </w:p>
        </w:tc>
        <w:tc>
          <w:tcPr>
            <w:tcW w:w="2498" w:type="dxa"/>
          </w:tcPr>
          <w:p w14:paraId="574B6533" w14:textId="77777777" w:rsidR="004D5CC3" w:rsidRPr="00124B9A" w:rsidRDefault="004D5CC3" w:rsidP="00283716">
            <w:pPr>
              <w:rPr>
                <w:rFonts w:cs="Arial"/>
                <w:szCs w:val="20"/>
              </w:rPr>
            </w:pPr>
            <w:r w:rsidRPr="00124B9A">
              <w:rPr>
                <w:rFonts w:cs="Arial"/>
                <w:szCs w:val="20"/>
              </w:rPr>
              <w:t>35%-45%</w:t>
            </w:r>
          </w:p>
        </w:tc>
        <w:tc>
          <w:tcPr>
            <w:tcW w:w="2474" w:type="dxa"/>
          </w:tcPr>
          <w:p w14:paraId="027632D1" w14:textId="77777777" w:rsidR="004D5CC3" w:rsidRPr="00124B9A" w:rsidRDefault="004D5CC3" w:rsidP="00283716">
            <w:pPr>
              <w:rPr>
                <w:rFonts w:cs="Arial"/>
                <w:szCs w:val="20"/>
              </w:rPr>
            </w:pPr>
            <w:r w:rsidRPr="00124B9A">
              <w:rPr>
                <w:rFonts w:cs="Arial"/>
                <w:szCs w:val="20"/>
              </w:rPr>
              <w:t>Low risk</w:t>
            </w:r>
          </w:p>
        </w:tc>
        <w:tc>
          <w:tcPr>
            <w:tcW w:w="2182" w:type="dxa"/>
          </w:tcPr>
          <w:p w14:paraId="0B8834E0" w14:textId="77777777" w:rsidR="004D5CC3" w:rsidRPr="00124B9A" w:rsidRDefault="004D5CC3" w:rsidP="00283716">
            <w:pPr>
              <w:rPr>
                <w:rFonts w:cs="Arial"/>
                <w:szCs w:val="20"/>
              </w:rPr>
            </w:pPr>
          </w:p>
        </w:tc>
      </w:tr>
      <w:tr w:rsidR="004D5CC3" w:rsidRPr="00124B9A" w14:paraId="5FE81D2D" w14:textId="77777777">
        <w:tc>
          <w:tcPr>
            <w:tcW w:w="2314" w:type="dxa"/>
          </w:tcPr>
          <w:p w14:paraId="41AE18C2" w14:textId="77777777" w:rsidR="004D5CC3" w:rsidRPr="00124B9A" w:rsidRDefault="004D5CC3" w:rsidP="00283716">
            <w:pPr>
              <w:rPr>
                <w:rFonts w:cs="Arial"/>
                <w:szCs w:val="20"/>
              </w:rPr>
            </w:pPr>
            <w:r w:rsidRPr="00124B9A">
              <w:rPr>
                <w:rFonts w:cs="Arial"/>
                <w:szCs w:val="20"/>
              </w:rPr>
              <w:t>Trisomy 12</w:t>
            </w:r>
          </w:p>
        </w:tc>
        <w:tc>
          <w:tcPr>
            <w:tcW w:w="2498" w:type="dxa"/>
          </w:tcPr>
          <w:p w14:paraId="4EF89BBA" w14:textId="77777777" w:rsidR="004D5CC3" w:rsidRPr="00124B9A" w:rsidRDefault="004D5CC3" w:rsidP="00283716">
            <w:pPr>
              <w:rPr>
                <w:rFonts w:cs="Arial"/>
                <w:szCs w:val="20"/>
              </w:rPr>
            </w:pPr>
            <w:r w:rsidRPr="00124B9A">
              <w:rPr>
                <w:rFonts w:cs="Arial"/>
                <w:szCs w:val="20"/>
              </w:rPr>
              <w:t>11%-16%</w:t>
            </w:r>
          </w:p>
        </w:tc>
        <w:tc>
          <w:tcPr>
            <w:tcW w:w="2474" w:type="dxa"/>
          </w:tcPr>
          <w:p w14:paraId="327B0BEF" w14:textId="77777777" w:rsidR="004D5CC3" w:rsidRPr="00124B9A" w:rsidRDefault="004D5CC3" w:rsidP="00283716">
            <w:pPr>
              <w:rPr>
                <w:rFonts w:cs="Arial"/>
                <w:szCs w:val="20"/>
              </w:rPr>
            </w:pPr>
            <w:r w:rsidRPr="00124B9A">
              <w:rPr>
                <w:rFonts w:cs="Arial"/>
                <w:szCs w:val="20"/>
              </w:rPr>
              <w:t>Intermediate-High risk</w:t>
            </w:r>
          </w:p>
        </w:tc>
        <w:tc>
          <w:tcPr>
            <w:tcW w:w="2182" w:type="dxa"/>
          </w:tcPr>
          <w:p w14:paraId="35858FBD" w14:textId="77777777" w:rsidR="004D5CC3" w:rsidRPr="00124B9A" w:rsidRDefault="004D5CC3" w:rsidP="00283716">
            <w:pPr>
              <w:rPr>
                <w:rFonts w:cs="Arial"/>
                <w:szCs w:val="20"/>
              </w:rPr>
            </w:pPr>
          </w:p>
        </w:tc>
      </w:tr>
      <w:tr w:rsidR="004D5CC3" w:rsidRPr="00124B9A" w14:paraId="43010468" w14:textId="77777777">
        <w:tc>
          <w:tcPr>
            <w:tcW w:w="2314" w:type="dxa"/>
          </w:tcPr>
          <w:p w14:paraId="66B4272E" w14:textId="77777777" w:rsidR="004D5CC3" w:rsidRPr="00124B9A" w:rsidRDefault="004D5CC3" w:rsidP="00283716">
            <w:pPr>
              <w:rPr>
                <w:rFonts w:cs="Arial"/>
                <w:i/>
                <w:szCs w:val="20"/>
              </w:rPr>
            </w:pPr>
            <w:r w:rsidRPr="00124B9A">
              <w:rPr>
                <w:rFonts w:cs="Arial"/>
                <w:szCs w:val="20"/>
              </w:rPr>
              <w:t xml:space="preserve">Del 11q22-23 </w:t>
            </w:r>
            <w:r w:rsidRPr="00124B9A">
              <w:rPr>
                <w:rFonts w:cs="Arial"/>
                <w:i/>
                <w:szCs w:val="20"/>
              </w:rPr>
              <w:t>(ATM; BIRC3)</w:t>
            </w:r>
          </w:p>
        </w:tc>
        <w:tc>
          <w:tcPr>
            <w:tcW w:w="2498" w:type="dxa"/>
          </w:tcPr>
          <w:p w14:paraId="284FF5C4" w14:textId="77777777" w:rsidR="004D5CC3" w:rsidRPr="00124B9A" w:rsidRDefault="004D5CC3" w:rsidP="00283716">
            <w:pPr>
              <w:rPr>
                <w:rFonts w:cs="Arial"/>
                <w:szCs w:val="20"/>
              </w:rPr>
            </w:pPr>
            <w:r w:rsidRPr="00124B9A">
              <w:rPr>
                <w:rFonts w:cs="Arial"/>
                <w:szCs w:val="20"/>
              </w:rPr>
              <w:t>10%-17%</w:t>
            </w:r>
          </w:p>
        </w:tc>
        <w:tc>
          <w:tcPr>
            <w:tcW w:w="2474" w:type="dxa"/>
          </w:tcPr>
          <w:p w14:paraId="1E9422D1" w14:textId="77777777" w:rsidR="004D5CC3" w:rsidRPr="00124B9A" w:rsidRDefault="004D5CC3" w:rsidP="00283716">
            <w:pPr>
              <w:rPr>
                <w:rFonts w:cs="Arial"/>
                <w:szCs w:val="20"/>
              </w:rPr>
            </w:pPr>
            <w:r w:rsidRPr="00124B9A">
              <w:rPr>
                <w:rFonts w:cs="Arial"/>
                <w:szCs w:val="20"/>
              </w:rPr>
              <w:t>Intermediate-High risk</w:t>
            </w:r>
          </w:p>
        </w:tc>
        <w:tc>
          <w:tcPr>
            <w:tcW w:w="2182" w:type="dxa"/>
          </w:tcPr>
          <w:p w14:paraId="340871C3" w14:textId="77777777" w:rsidR="004D5CC3" w:rsidRPr="00124B9A" w:rsidRDefault="004D5CC3" w:rsidP="00283716">
            <w:pPr>
              <w:rPr>
                <w:rFonts w:cs="Arial"/>
                <w:szCs w:val="20"/>
              </w:rPr>
            </w:pPr>
            <w:r w:rsidRPr="00124B9A">
              <w:rPr>
                <w:rFonts w:cs="Arial"/>
                <w:szCs w:val="20"/>
              </w:rPr>
              <w:t>Bulky disease, aggressive clinical course, shorter survival</w:t>
            </w:r>
          </w:p>
        </w:tc>
      </w:tr>
      <w:tr w:rsidR="004D5CC3" w:rsidRPr="00124B9A" w14:paraId="7D870625" w14:textId="77777777">
        <w:tc>
          <w:tcPr>
            <w:tcW w:w="2314" w:type="dxa"/>
          </w:tcPr>
          <w:p w14:paraId="1912D6F6" w14:textId="77777777" w:rsidR="004D5CC3" w:rsidRPr="00124B9A" w:rsidRDefault="004D5CC3" w:rsidP="00283716">
            <w:pPr>
              <w:rPr>
                <w:rFonts w:cs="Arial"/>
                <w:i/>
                <w:szCs w:val="20"/>
              </w:rPr>
            </w:pPr>
            <w:r w:rsidRPr="00124B9A">
              <w:rPr>
                <w:rFonts w:cs="Arial"/>
                <w:szCs w:val="20"/>
              </w:rPr>
              <w:t>Del 17p (</w:t>
            </w:r>
            <w:r w:rsidRPr="00124B9A">
              <w:rPr>
                <w:rFonts w:cs="Arial"/>
                <w:i/>
                <w:szCs w:val="20"/>
              </w:rPr>
              <w:t>TP53)</w:t>
            </w:r>
          </w:p>
        </w:tc>
        <w:tc>
          <w:tcPr>
            <w:tcW w:w="2498" w:type="dxa"/>
          </w:tcPr>
          <w:p w14:paraId="02CD524B" w14:textId="77777777" w:rsidR="004D5CC3" w:rsidRPr="00124B9A" w:rsidRDefault="004D5CC3" w:rsidP="00283716">
            <w:pPr>
              <w:rPr>
                <w:rFonts w:cs="Arial"/>
                <w:szCs w:val="20"/>
              </w:rPr>
            </w:pPr>
            <w:r w:rsidRPr="00124B9A">
              <w:rPr>
                <w:rFonts w:cs="Arial"/>
                <w:szCs w:val="20"/>
              </w:rPr>
              <w:t>3%-7%</w:t>
            </w:r>
          </w:p>
        </w:tc>
        <w:tc>
          <w:tcPr>
            <w:tcW w:w="2474" w:type="dxa"/>
          </w:tcPr>
          <w:p w14:paraId="19DAC032" w14:textId="77777777" w:rsidR="004D5CC3" w:rsidRPr="00124B9A" w:rsidRDefault="004D5CC3" w:rsidP="00283716">
            <w:pPr>
              <w:rPr>
                <w:rFonts w:cs="Arial"/>
                <w:szCs w:val="20"/>
              </w:rPr>
            </w:pPr>
            <w:r w:rsidRPr="00124B9A">
              <w:rPr>
                <w:rFonts w:cs="Arial"/>
                <w:szCs w:val="20"/>
              </w:rPr>
              <w:t>High risk</w:t>
            </w:r>
          </w:p>
        </w:tc>
        <w:tc>
          <w:tcPr>
            <w:tcW w:w="2182" w:type="dxa"/>
          </w:tcPr>
          <w:p w14:paraId="780BF370" w14:textId="77777777" w:rsidR="004D5CC3" w:rsidRPr="00124B9A" w:rsidRDefault="004D5CC3" w:rsidP="00283716">
            <w:pPr>
              <w:rPr>
                <w:rFonts w:cs="Arial"/>
                <w:szCs w:val="20"/>
              </w:rPr>
            </w:pPr>
            <w:r w:rsidRPr="00124B9A">
              <w:rPr>
                <w:rFonts w:cs="Arial"/>
                <w:szCs w:val="20"/>
              </w:rPr>
              <w:t>Frequently no response to therapy or relapse after therapy</w:t>
            </w:r>
          </w:p>
        </w:tc>
      </w:tr>
      <w:tr w:rsidR="004D5CC3" w:rsidRPr="00124B9A" w14:paraId="3A0848D1" w14:textId="77777777">
        <w:tc>
          <w:tcPr>
            <w:tcW w:w="2314" w:type="dxa"/>
          </w:tcPr>
          <w:p w14:paraId="4003C063" w14:textId="77777777" w:rsidR="004D5CC3" w:rsidRPr="00124B9A" w:rsidRDefault="004D5CC3" w:rsidP="00283716">
            <w:pPr>
              <w:rPr>
                <w:rFonts w:cs="Arial"/>
                <w:szCs w:val="20"/>
              </w:rPr>
            </w:pPr>
            <w:r w:rsidRPr="00124B9A">
              <w:rPr>
                <w:rFonts w:cs="Arial"/>
                <w:szCs w:val="20"/>
              </w:rPr>
              <w:t>No abnormalities by FISH</w:t>
            </w:r>
          </w:p>
        </w:tc>
        <w:tc>
          <w:tcPr>
            <w:tcW w:w="2498" w:type="dxa"/>
          </w:tcPr>
          <w:p w14:paraId="6AF8750C" w14:textId="77777777" w:rsidR="004D5CC3" w:rsidRPr="00124B9A" w:rsidRDefault="004D5CC3" w:rsidP="00283716">
            <w:pPr>
              <w:rPr>
                <w:rFonts w:cs="Arial"/>
                <w:szCs w:val="20"/>
              </w:rPr>
            </w:pPr>
          </w:p>
        </w:tc>
        <w:tc>
          <w:tcPr>
            <w:tcW w:w="2474" w:type="dxa"/>
          </w:tcPr>
          <w:p w14:paraId="58AF3A74" w14:textId="77777777" w:rsidR="004D5CC3" w:rsidRPr="00124B9A" w:rsidRDefault="004D5CC3" w:rsidP="00283716">
            <w:pPr>
              <w:rPr>
                <w:rFonts w:cs="Arial"/>
                <w:szCs w:val="20"/>
              </w:rPr>
            </w:pPr>
            <w:r w:rsidRPr="00124B9A">
              <w:rPr>
                <w:rFonts w:cs="Arial"/>
                <w:szCs w:val="20"/>
              </w:rPr>
              <w:t xml:space="preserve">Low-Intermediate risk </w:t>
            </w:r>
          </w:p>
        </w:tc>
        <w:tc>
          <w:tcPr>
            <w:tcW w:w="2182" w:type="dxa"/>
          </w:tcPr>
          <w:p w14:paraId="55625FF6" w14:textId="77777777" w:rsidR="004D5CC3" w:rsidRPr="00124B9A" w:rsidRDefault="004D5CC3" w:rsidP="00283716">
            <w:pPr>
              <w:rPr>
                <w:rFonts w:cs="Arial"/>
                <w:szCs w:val="20"/>
              </w:rPr>
            </w:pPr>
          </w:p>
        </w:tc>
      </w:tr>
    </w:tbl>
    <w:p w14:paraId="6ADE5BB4" w14:textId="77777777" w:rsidR="004D5CC3" w:rsidRPr="00124B9A" w:rsidRDefault="004D5CC3" w:rsidP="004D5CC3">
      <w:pPr>
        <w:rPr>
          <w:rFonts w:cs="Arial"/>
          <w:szCs w:val="20"/>
        </w:rPr>
      </w:pPr>
    </w:p>
    <w:p w14:paraId="6F710A2A" w14:textId="77777777" w:rsidR="004D5CC3" w:rsidRPr="00124B9A" w:rsidRDefault="00EC3DDF" w:rsidP="004D5CC3">
      <w:pPr>
        <w:rPr>
          <w:rFonts w:cs="Arial"/>
          <w:b/>
          <w:szCs w:val="20"/>
        </w:rPr>
      </w:pPr>
      <w:r w:rsidRPr="00124B9A">
        <w:rPr>
          <w:rFonts w:cs="Arial"/>
          <w:b/>
          <w:szCs w:val="20"/>
        </w:rPr>
        <w:t xml:space="preserve">C. </w:t>
      </w:r>
      <w:r w:rsidR="004D5CC3" w:rsidRPr="00124B9A">
        <w:rPr>
          <w:rFonts w:cs="Arial"/>
          <w:b/>
          <w:szCs w:val="20"/>
        </w:rPr>
        <w:t>CD38 Expression</w:t>
      </w:r>
    </w:p>
    <w:p w14:paraId="5E9FDE2C" w14:textId="77777777" w:rsidR="004D5CC3" w:rsidRPr="00124B9A" w:rsidRDefault="004D5CC3" w:rsidP="004D5CC3">
      <w:pPr>
        <w:rPr>
          <w:rFonts w:cs="Arial"/>
          <w:szCs w:val="20"/>
          <w:vertAlign w:val="superscript"/>
        </w:rPr>
      </w:pPr>
      <w:r w:rsidRPr="00124B9A">
        <w:rPr>
          <w:rFonts w:cs="Arial"/>
          <w:szCs w:val="20"/>
        </w:rPr>
        <w:t>CD38 is a 45 KDa transmembrane glycoprotein that was the first maker found to correlate with IgVH mutation.</w:t>
      </w:r>
      <w:r w:rsidRPr="00124B9A">
        <w:rPr>
          <w:rFonts w:cs="Arial"/>
          <w:szCs w:val="20"/>
          <w:vertAlign w:val="superscript"/>
        </w:rPr>
        <w:t xml:space="preserve">2  </w:t>
      </w:r>
      <w:r w:rsidRPr="00124B9A">
        <w:rPr>
          <w:rFonts w:cs="Arial"/>
          <w:szCs w:val="20"/>
        </w:rPr>
        <w:t>Patients with CD38-positive cells have unmutated IgVH genes and higher need for chemotherapy as well as shorter overall survival.</w:t>
      </w:r>
      <w:r w:rsidRPr="00124B9A">
        <w:rPr>
          <w:rFonts w:cs="Arial"/>
          <w:szCs w:val="20"/>
          <w:vertAlign w:val="superscript"/>
        </w:rPr>
        <w:t xml:space="preserve"> </w:t>
      </w:r>
      <w:r w:rsidRPr="00124B9A">
        <w:rPr>
          <w:rFonts w:cs="Arial"/>
          <w:szCs w:val="20"/>
        </w:rPr>
        <w:t>However, subsequent studies showed that association between mutation status and CD38 expression level was not absolute and that CD38 expression should be considered as an independent prognostic marker in CLL.</w:t>
      </w:r>
      <w:r w:rsidRPr="00124B9A">
        <w:rPr>
          <w:rFonts w:cs="Arial"/>
          <w:szCs w:val="20"/>
          <w:vertAlign w:val="superscript"/>
        </w:rPr>
        <w:t xml:space="preserve">6  </w:t>
      </w:r>
      <w:r w:rsidRPr="00124B9A">
        <w:rPr>
          <w:rFonts w:cs="Arial"/>
          <w:szCs w:val="20"/>
        </w:rPr>
        <w:t>CD38 expression is determined by flow cytometry. A 30% cutoff level is generally used empirically to classify CD38-positive and CD38-negative patients; individual laboratories should determine their own criteria for calling CD38-positive and CD38-negative cases, and specific laboratory cut-offs should be described in the methods section above.</w:t>
      </w:r>
      <w:r w:rsidR="00877ACD" w:rsidRPr="00124B9A">
        <w:rPr>
          <w:rFonts w:cs="Arial"/>
          <w:szCs w:val="20"/>
          <w:vertAlign w:val="superscript"/>
        </w:rPr>
        <w:t>1,</w:t>
      </w:r>
      <w:r w:rsidRPr="00124B9A">
        <w:rPr>
          <w:rFonts w:cs="Arial"/>
          <w:szCs w:val="20"/>
          <w:vertAlign w:val="superscript"/>
        </w:rPr>
        <w:t xml:space="preserve">6 </w:t>
      </w:r>
      <w:r w:rsidRPr="00124B9A">
        <w:rPr>
          <w:rFonts w:cs="Arial"/>
          <w:szCs w:val="20"/>
          <w:vertAlign w:val="subscript"/>
        </w:rPr>
        <w:t xml:space="preserve"> </w:t>
      </w:r>
      <w:r w:rsidRPr="00124B9A">
        <w:rPr>
          <w:rFonts w:cs="Arial"/>
          <w:szCs w:val="20"/>
          <w:vertAlign w:val="superscript"/>
        </w:rPr>
        <w:t xml:space="preserve"> </w:t>
      </w:r>
      <w:r w:rsidRPr="00124B9A">
        <w:rPr>
          <w:rFonts w:cs="Arial"/>
          <w:szCs w:val="20"/>
        </w:rPr>
        <w:t>CD38 expression may vary over time and may show a bimodal expression profile.</w:t>
      </w:r>
      <w:r w:rsidRPr="00124B9A">
        <w:rPr>
          <w:rFonts w:cs="Arial"/>
          <w:szCs w:val="20"/>
          <w:vertAlign w:val="superscript"/>
        </w:rPr>
        <w:t>4</w:t>
      </w:r>
    </w:p>
    <w:p w14:paraId="361B33FF" w14:textId="77777777" w:rsidR="004D5CC3" w:rsidRPr="00124B9A" w:rsidRDefault="004D5CC3" w:rsidP="004D5CC3">
      <w:pPr>
        <w:rPr>
          <w:rFonts w:cs="Arial"/>
          <w:szCs w:val="20"/>
          <w:vertAlign w:val="superscript"/>
        </w:rPr>
      </w:pPr>
    </w:p>
    <w:p w14:paraId="4CA69AB2" w14:textId="77777777" w:rsidR="004D5CC3" w:rsidRPr="00124B9A" w:rsidRDefault="00EC3DDF" w:rsidP="004D5CC3">
      <w:pPr>
        <w:rPr>
          <w:rFonts w:cs="Arial"/>
          <w:b/>
          <w:szCs w:val="20"/>
        </w:rPr>
      </w:pPr>
      <w:r w:rsidRPr="00124B9A">
        <w:rPr>
          <w:rFonts w:cs="Arial"/>
          <w:b/>
          <w:szCs w:val="20"/>
        </w:rPr>
        <w:t xml:space="preserve">D. </w:t>
      </w:r>
      <w:r w:rsidR="004D5CC3" w:rsidRPr="00124B9A">
        <w:rPr>
          <w:rFonts w:cs="Arial"/>
          <w:b/>
          <w:szCs w:val="20"/>
        </w:rPr>
        <w:t>ZAP-70 Expression</w:t>
      </w:r>
    </w:p>
    <w:p w14:paraId="2E898F6F" w14:textId="77777777" w:rsidR="00D154F1" w:rsidRPr="00124B9A" w:rsidRDefault="004D5CC3" w:rsidP="004D5CC3">
      <w:pPr>
        <w:rPr>
          <w:rFonts w:cs="Arial"/>
          <w:szCs w:val="20"/>
        </w:rPr>
      </w:pPr>
      <w:r w:rsidRPr="00124B9A">
        <w:rPr>
          <w:rFonts w:cs="Arial"/>
          <w:szCs w:val="20"/>
        </w:rPr>
        <w:t>Comparative microarray studies performed on cases of CLL with mutated and unmutated IgVH genes showed differential expression of gene encoding for zeta-associated protein of 70 kDa (ZAP-70).</w:t>
      </w:r>
      <w:r w:rsidRPr="00124B9A">
        <w:rPr>
          <w:rFonts w:cs="Arial"/>
          <w:szCs w:val="20"/>
          <w:vertAlign w:val="superscript"/>
        </w:rPr>
        <w:t>7</w:t>
      </w:r>
      <w:r w:rsidRPr="00124B9A">
        <w:rPr>
          <w:rFonts w:cs="Arial"/>
          <w:szCs w:val="20"/>
        </w:rPr>
        <w:t xml:space="preserve"> Zap-70 is normally expressed in T cells and NK cells. The majority of the CLL cases with mutated IgVH are ZAP-70 negative, while cases with unmutated IgVH are ZAP-70 positive. ZAP-70 expression in CLL cells can be determined by various methods including western blotting, quantitative reverse transcription polymerase chain reaction (RT-PCR), immunohistochemistry, and flow cytometry. However, flow cytometry is the preferred technique for assessing ZAP-70 expression in CLL cells</w:t>
      </w:r>
      <w:r w:rsidR="00683690" w:rsidRPr="00124B9A">
        <w:rPr>
          <w:rFonts w:cs="Arial"/>
          <w:szCs w:val="20"/>
        </w:rPr>
        <w:t>.</w:t>
      </w:r>
      <w:r w:rsidRPr="00124B9A">
        <w:rPr>
          <w:rFonts w:cs="Arial"/>
          <w:szCs w:val="20"/>
          <w:vertAlign w:val="superscript"/>
        </w:rPr>
        <w:t xml:space="preserve">8  </w:t>
      </w:r>
      <w:r w:rsidRPr="00124B9A">
        <w:rPr>
          <w:rFonts w:cs="Arial"/>
          <w:szCs w:val="20"/>
        </w:rPr>
        <w:t>Flow cytometry allows simultaneous evaluation of ZAP-70 protein expression in CLL cells and normal lymphocytes. A 20% cutoff threshold is commonly used to separate ZAP-70-negative from ZAP-70-positive CLL cases; however, this threshold may vary significantly from laboratory to laboratory depending on how negative controls are defined.</w:t>
      </w:r>
      <w:r w:rsidR="00D154F1" w:rsidRPr="00124B9A">
        <w:rPr>
          <w:rFonts w:cs="Arial"/>
          <w:szCs w:val="20"/>
        </w:rPr>
        <w:t xml:space="preserve">  </w:t>
      </w:r>
    </w:p>
    <w:p w14:paraId="6E5056F5" w14:textId="77777777" w:rsidR="00D154F1" w:rsidRPr="00124B9A" w:rsidRDefault="00D154F1" w:rsidP="004D5CC3">
      <w:pPr>
        <w:rPr>
          <w:rFonts w:cs="Arial"/>
          <w:szCs w:val="20"/>
        </w:rPr>
      </w:pPr>
    </w:p>
    <w:p w14:paraId="1B24F9B4" w14:textId="77777777" w:rsidR="004D5CC3" w:rsidRPr="00124B9A" w:rsidRDefault="00D154F1" w:rsidP="004D5CC3">
      <w:pPr>
        <w:rPr>
          <w:rFonts w:cs="Arial"/>
          <w:szCs w:val="20"/>
        </w:rPr>
      </w:pPr>
      <w:r w:rsidRPr="00124B9A">
        <w:rPr>
          <w:rFonts w:cs="Arial"/>
          <w:szCs w:val="20"/>
        </w:rPr>
        <w:t>There is inherent lab</w:t>
      </w:r>
      <w:r w:rsidR="00E90003" w:rsidRPr="00124B9A">
        <w:rPr>
          <w:rFonts w:cs="Arial"/>
          <w:szCs w:val="20"/>
        </w:rPr>
        <w:t>oratory-</w:t>
      </w:r>
      <w:r w:rsidRPr="00124B9A">
        <w:rPr>
          <w:rFonts w:cs="Arial"/>
          <w:szCs w:val="20"/>
        </w:rPr>
        <w:t>to</w:t>
      </w:r>
      <w:r w:rsidR="00E90003" w:rsidRPr="00124B9A">
        <w:rPr>
          <w:rFonts w:cs="Arial"/>
          <w:szCs w:val="20"/>
        </w:rPr>
        <w:t>-</w:t>
      </w:r>
      <w:r w:rsidRPr="00124B9A">
        <w:rPr>
          <w:rFonts w:cs="Arial"/>
          <w:szCs w:val="20"/>
        </w:rPr>
        <w:t>lab</w:t>
      </w:r>
      <w:r w:rsidR="00E90003" w:rsidRPr="00124B9A">
        <w:rPr>
          <w:rFonts w:cs="Arial"/>
          <w:szCs w:val="20"/>
        </w:rPr>
        <w:t>oratory</w:t>
      </w:r>
      <w:r w:rsidRPr="00124B9A">
        <w:rPr>
          <w:rFonts w:cs="Arial"/>
          <w:szCs w:val="20"/>
        </w:rPr>
        <w:t xml:space="preserve"> variability in ZAP-70 testing due to the following: different antibody clones used (variable antigen affinity), different conjugated fluorochromes (variable intensity), variable methods of cell permeabilization (for intracellular staining), variable staining procedures, variable gating procedures, </w:t>
      </w:r>
      <w:r w:rsidR="00E90003" w:rsidRPr="00124B9A">
        <w:rPr>
          <w:rFonts w:cs="Arial"/>
          <w:szCs w:val="20"/>
        </w:rPr>
        <w:t xml:space="preserve">and </w:t>
      </w:r>
      <w:r w:rsidRPr="00124B9A">
        <w:rPr>
          <w:rFonts w:cs="Arial"/>
          <w:szCs w:val="20"/>
        </w:rPr>
        <w:t>variable reporting methods.  Moreover, ZAP-70 is a labile protein; most consensus guidelines recommend ZAP-70 testing within 24 hours of sample collection.  Laboratories should establish firm gating criteria for sample collection and determine reference populations at the point of method validation of their assay to ensure optimal interassay precisio</w:t>
      </w:r>
      <w:r w:rsidR="008D4209" w:rsidRPr="00124B9A">
        <w:rPr>
          <w:rFonts w:cs="Arial"/>
          <w:szCs w:val="20"/>
        </w:rPr>
        <w:t>n.  </w:t>
      </w:r>
      <w:r w:rsidRPr="00124B9A">
        <w:rPr>
          <w:rFonts w:cs="Arial"/>
          <w:szCs w:val="20"/>
        </w:rPr>
        <w:t>Different gating strategies are discuss</w:t>
      </w:r>
      <w:r w:rsidR="008D4209" w:rsidRPr="00124B9A">
        <w:rPr>
          <w:rFonts w:cs="Arial"/>
          <w:szCs w:val="20"/>
        </w:rPr>
        <w:t>ed extensively in a prior multi</w:t>
      </w:r>
      <w:r w:rsidRPr="00124B9A">
        <w:rPr>
          <w:rFonts w:cs="Arial"/>
          <w:szCs w:val="20"/>
        </w:rPr>
        <w:t>center international harmonization study.</w:t>
      </w:r>
      <w:r w:rsidRPr="00124B9A">
        <w:rPr>
          <w:rFonts w:cs="Arial"/>
          <w:szCs w:val="20"/>
          <w:vertAlign w:val="superscript"/>
        </w:rPr>
        <w:t xml:space="preserve"> 9</w:t>
      </w:r>
    </w:p>
    <w:p w14:paraId="748C3C3D" w14:textId="77777777" w:rsidR="004D5CC3" w:rsidRPr="00124B9A" w:rsidRDefault="004D5CC3" w:rsidP="004D5CC3">
      <w:pPr>
        <w:rPr>
          <w:rFonts w:cs="Arial"/>
          <w:szCs w:val="20"/>
        </w:rPr>
      </w:pPr>
    </w:p>
    <w:p w14:paraId="42EFE5CC" w14:textId="77777777" w:rsidR="004D5CC3" w:rsidRPr="00124B9A" w:rsidRDefault="004D5CC3" w:rsidP="004D5CC3">
      <w:pPr>
        <w:pStyle w:val="Heading3"/>
        <w:rPr>
          <w:rFonts w:ascii="Arial" w:hAnsi="Arial" w:cs="Arial"/>
          <w:color w:val="auto"/>
          <w:sz w:val="20"/>
          <w:szCs w:val="20"/>
          <w:u w:val="none"/>
        </w:rPr>
      </w:pPr>
      <w:r w:rsidRPr="00124B9A">
        <w:rPr>
          <w:rFonts w:ascii="Arial" w:hAnsi="Arial" w:cs="Arial"/>
          <w:color w:val="auto"/>
          <w:sz w:val="20"/>
          <w:szCs w:val="20"/>
          <w:u w:val="none"/>
        </w:rPr>
        <w:t>References</w:t>
      </w:r>
    </w:p>
    <w:p w14:paraId="084FA3D8" w14:textId="77777777" w:rsidR="004D5CC3" w:rsidRPr="00124B9A" w:rsidRDefault="004D5CC3" w:rsidP="004D5CC3">
      <w:pPr>
        <w:pStyle w:val="ListParagraph"/>
        <w:numPr>
          <w:ilvl w:val="0"/>
          <w:numId w:val="1"/>
        </w:numPr>
        <w:ind w:left="360"/>
        <w:rPr>
          <w:rFonts w:ascii="Arial" w:hAnsi="Arial" w:cs="Arial"/>
          <w:sz w:val="20"/>
          <w:szCs w:val="20"/>
        </w:rPr>
      </w:pPr>
      <w:r w:rsidRPr="00124B9A">
        <w:rPr>
          <w:rFonts w:ascii="Arial" w:hAnsi="Arial" w:cs="Arial"/>
          <w:sz w:val="20"/>
          <w:szCs w:val="20"/>
        </w:rPr>
        <w:t xml:space="preserve">Hamblin TJ, Davis Z, Gardiner A, Oscier DG, Stevenson FK. Unmutated IgV(H) genes are associated with a more aggressive form of chronic lymphocytic leukemia. </w:t>
      </w:r>
      <w:r w:rsidRPr="00124B9A">
        <w:rPr>
          <w:rFonts w:ascii="Arial" w:hAnsi="Arial" w:cs="Arial"/>
          <w:i/>
          <w:sz w:val="20"/>
          <w:szCs w:val="20"/>
        </w:rPr>
        <w:t>Blood</w:t>
      </w:r>
      <w:r w:rsidRPr="00124B9A">
        <w:rPr>
          <w:rFonts w:ascii="Arial" w:hAnsi="Arial" w:cs="Arial"/>
          <w:sz w:val="20"/>
          <w:szCs w:val="20"/>
        </w:rPr>
        <w:t>. 1999;94</w:t>
      </w:r>
      <w:r w:rsidR="00B032D6" w:rsidRPr="00124B9A">
        <w:rPr>
          <w:rFonts w:ascii="Arial" w:hAnsi="Arial" w:cs="Arial"/>
          <w:sz w:val="20"/>
          <w:szCs w:val="20"/>
        </w:rPr>
        <w:t>(6)</w:t>
      </w:r>
      <w:r w:rsidRPr="00124B9A">
        <w:rPr>
          <w:rFonts w:ascii="Arial" w:hAnsi="Arial" w:cs="Arial"/>
          <w:sz w:val="20"/>
          <w:szCs w:val="20"/>
        </w:rPr>
        <w:t>:1848-1854.</w:t>
      </w:r>
    </w:p>
    <w:p w14:paraId="724D5C0C" w14:textId="77777777" w:rsidR="004D5CC3" w:rsidRPr="00124B9A" w:rsidRDefault="004D5CC3" w:rsidP="004D5CC3">
      <w:pPr>
        <w:pStyle w:val="ListParagraph"/>
        <w:numPr>
          <w:ilvl w:val="0"/>
          <w:numId w:val="1"/>
        </w:numPr>
        <w:ind w:left="360"/>
        <w:rPr>
          <w:rFonts w:ascii="Arial" w:hAnsi="Arial" w:cs="Arial"/>
          <w:sz w:val="20"/>
          <w:szCs w:val="20"/>
        </w:rPr>
      </w:pPr>
      <w:r w:rsidRPr="00124B9A">
        <w:rPr>
          <w:rFonts w:ascii="Arial" w:hAnsi="Arial" w:cs="Arial"/>
          <w:sz w:val="20"/>
          <w:szCs w:val="20"/>
        </w:rPr>
        <w:t xml:space="preserve">Damie RN, Wasil T, Fais F, et al. Ig VH gene mutation status and CD38 expression as novel prognostic indicators in chronic lymphocytic leukemia. </w:t>
      </w:r>
      <w:r w:rsidRPr="00124B9A">
        <w:rPr>
          <w:rFonts w:ascii="Arial" w:hAnsi="Arial" w:cs="Arial"/>
          <w:i/>
          <w:sz w:val="20"/>
          <w:szCs w:val="20"/>
        </w:rPr>
        <w:t>Blood</w:t>
      </w:r>
      <w:r w:rsidRPr="00124B9A">
        <w:rPr>
          <w:rFonts w:ascii="Arial" w:hAnsi="Arial" w:cs="Arial"/>
          <w:sz w:val="20"/>
          <w:szCs w:val="20"/>
        </w:rPr>
        <w:t>. 1999;94</w:t>
      </w:r>
      <w:r w:rsidR="00B032D6" w:rsidRPr="00124B9A">
        <w:rPr>
          <w:rFonts w:ascii="Arial" w:hAnsi="Arial" w:cs="Arial"/>
          <w:sz w:val="20"/>
          <w:szCs w:val="20"/>
        </w:rPr>
        <w:t>(6)</w:t>
      </w:r>
      <w:r w:rsidRPr="00124B9A">
        <w:rPr>
          <w:rFonts w:ascii="Arial" w:hAnsi="Arial" w:cs="Arial"/>
          <w:sz w:val="20"/>
          <w:szCs w:val="20"/>
        </w:rPr>
        <w:t>:1840-1847.</w:t>
      </w:r>
    </w:p>
    <w:p w14:paraId="1CD13C9C" w14:textId="77777777" w:rsidR="004D5CC3" w:rsidRPr="00124B9A" w:rsidRDefault="004D5CC3" w:rsidP="004D5CC3">
      <w:pPr>
        <w:pStyle w:val="ListParagraph"/>
        <w:numPr>
          <w:ilvl w:val="0"/>
          <w:numId w:val="1"/>
        </w:numPr>
        <w:ind w:left="360"/>
        <w:rPr>
          <w:rFonts w:ascii="Arial" w:hAnsi="Arial" w:cs="Arial"/>
          <w:sz w:val="20"/>
          <w:szCs w:val="20"/>
        </w:rPr>
      </w:pPr>
      <w:r w:rsidRPr="00124B9A">
        <w:rPr>
          <w:rFonts w:ascii="Arial" w:hAnsi="Arial" w:cs="Arial"/>
          <w:sz w:val="20"/>
          <w:szCs w:val="20"/>
        </w:rPr>
        <w:t xml:space="preserve">Bockstaele FV, Verhasselt B, Philippe J. Prognostic markers in chronic lymphocytic leukemia: a comprehensive review. </w:t>
      </w:r>
      <w:r w:rsidRPr="00124B9A">
        <w:rPr>
          <w:rFonts w:ascii="Arial" w:hAnsi="Arial" w:cs="Arial"/>
          <w:i/>
          <w:sz w:val="20"/>
          <w:szCs w:val="20"/>
        </w:rPr>
        <w:t>Blood Reviews</w:t>
      </w:r>
      <w:r w:rsidR="00B032D6" w:rsidRPr="00124B9A">
        <w:rPr>
          <w:rFonts w:ascii="Arial" w:hAnsi="Arial" w:cs="Arial"/>
          <w:sz w:val="20"/>
          <w:szCs w:val="20"/>
        </w:rPr>
        <w:t>. 2009;</w:t>
      </w:r>
      <w:r w:rsidRPr="00124B9A">
        <w:rPr>
          <w:rFonts w:ascii="Arial" w:hAnsi="Arial" w:cs="Arial"/>
          <w:sz w:val="20"/>
          <w:szCs w:val="20"/>
        </w:rPr>
        <w:t>23:2-47.</w:t>
      </w:r>
    </w:p>
    <w:p w14:paraId="220EF714" w14:textId="77777777" w:rsidR="004D5CC3" w:rsidRPr="00124B9A" w:rsidRDefault="004D5CC3" w:rsidP="004D5CC3">
      <w:pPr>
        <w:pStyle w:val="ListParagraph"/>
        <w:numPr>
          <w:ilvl w:val="0"/>
          <w:numId w:val="1"/>
        </w:numPr>
        <w:ind w:left="360"/>
        <w:jc w:val="both"/>
        <w:rPr>
          <w:rFonts w:ascii="Arial" w:hAnsi="Arial" w:cs="Arial"/>
          <w:sz w:val="20"/>
          <w:szCs w:val="20"/>
        </w:rPr>
      </w:pPr>
      <w:r w:rsidRPr="00124B9A">
        <w:rPr>
          <w:rFonts w:ascii="Arial" w:hAnsi="Arial" w:cs="Arial"/>
          <w:sz w:val="20"/>
          <w:szCs w:val="20"/>
        </w:rPr>
        <w:t>Rosenq</w:t>
      </w:r>
      <w:r w:rsidR="00B032D6" w:rsidRPr="00124B9A">
        <w:rPr>
          <w:rFonts w:ascii="Arial" w:hAnsi="Arial" w:cs="Arial"/>
          <w:sz w:val="20"/>
          <w:szCs w:val="20"/>
        </w:rPr>
        <w:t>uist R, Cortese D, Bhoi S, Gunnarsson R</w:t>
      </w:r>
      <w:r w:rsidRPr="00124B9A">
        <w:rPr>
          <w:rFonts w:ascii="Arial" w:hAnsi="Arial" w:cs="Arial"/>
          <w:sz w:val="20"/>
          <w:szCs w:val="20"/>
        </w:rPr>
        <w:t xml:space="preserve">. Prognostic markers and their clinical applicability in chronic lymphocytic leukemia: where do we stand? </w:t>
      </w:r>
      <w:r w:rsidRPr="00124B9A">
        <w:rPr>
          <w:rFonts w:ascii="Arial" w:hAnsi="Arial" w:cs="Arial"/>
          <w:i/>
          <w:sz w:val="20"/>
          <w:szCs w:val="20"/>
        </w:rPr>
        <w:t>Leuk Lymphoma.</w:t>
      </w:r>
      <w:r w:rsidRPr="00124B9A">
        <w:rPr>
          <w:rFonts w:ascii="Arial" w:hAnsi="Arial" w:cs="Arial"/>
          <w:sz w:val="20"/>
          <w:szCs w:val="20"/>
        </w:rPr>
        <w:t xml:space="preserve"> 2013;54</w:t>
      </w:r>
      <w:r w:rsidR="00B032D6" w:rsidRPr="00124B9A">
        <w:rPr>
          <w:rFonts w:ascii="Arial" w:hAnsi="Arial" w:cs="Arial"/>
          <w:sz w:val="20"/>
          <w:szCs w:val="20"/>
        </w:rPr>
        <w:t>(11)</w:t>
      </w:r>
      <w:r w:rsidRPr="00124B9A">
        <w:rPr>
          <w:rFonts w:ascii="Arial" w:hAnsi="Arial" w:cs="Arial"/>
          <w:sz w:val="20"/>
          <w:szCs w:val="20"/>
        </w:rPr>
        <w:t>:2351-2364.</w:t>
      </w:r>
    </w:p>
    <w:p w14:paraId="33297BE7" w14:textId="77777777" w:rsidR="004D5CC3" w:rsidRPr="00124B9A" w:rsidRDefault="004D5CC3" w:rsidP="004D5CC3">
      <w:pPr>
        <w:pStyle w:val="ListParagraph"/>
        <w:numPr>
          <w:ilvl w:val="0"/>
          <w:numId w:val="1"/>
        </w:numPr>
        <w:ind w:left="360"/>
        <w:jc w:val="both"/>
        <w:rPr>
          <w:rFonts w:ascii="Arial" w:hAnsi="Arial" w:cs="Arial"/>
          <w:sz w:val="20"/>
          <w:szCs w:val="20"/>
        </w:rPr>
      </w:pPr>
      <w:r w:rsidRPr="00124B9A">
        <w:rPr>
          <w:rFonts w:ascii="Arial" w:hAnsi="Arial" w:cs="Arial"/>
          <w:sz w:val="20"/>
          <w:szCs w:val="20"/>
        </w:rPr>
        <w:t xml:space="preserve">Chiorazzi N. Implications of new prognostic markers in chronic lymphocytic leukemia. </w:t>
      </w:r>
      <w:r w:rsidRPr="00124B9A">
        <w:rPr>
          <w:rStyle w:val="jrnl"/>
          <w:rFonts w:ascii="Arial" w:hAnsi="Arial" w:cs="Arial"/>
          <w:i/>
          <w:sz w:val="20"/>
          <w:szCs w:val="20"/>
        </w:rPr>
        <w:t>Hematology Am Soc Hematol Educ Program</w:t>
      </w:r>
      <w:r w:rsidRPr="00124B9A">
        <w:rPr>
          <w:rFonts w:ascii="Arial" w:hAnsi="Arial" w:cs="Arial"/>
          <w:i/>
          <w:sz w:val="20"/>
          <w:szCs w:val="20"/>
        </w:rPr>
        <w:t>.</w:t>
      </w:r>
      <w:r w:rsidRPr="00124B9A">
        <w:rPr>
          <w:rFonts w:ascii="Arial" w:hAnsi="Arial" w:cs="Arial"/>
          <w:sz w:val="20"/>
          <w:szCs w:val="20"/>
        </w:rPr>
        <w:t xml:space="preserve"> 2012;2012:76-87.</w:t>
      </w:r>
    </w:p>
    <w:p w14:paraId="59832B40" w14:textId="77777777" w:rsidR="004D5CC3" w:rsidRPr="00124B9A" w:rsidRDefault="004D5CC3" w:rsidP="004D5CC3">
      <w:pPr>
        <w:pStyle w:val="ListParagraph"/>
        <w:numPr>
          <w:ilvl w:val="0"/>
          <w:numId w:val="1"/>
        </w:numPr>
        <w:ind w:left="360"/>
        <w:rPr>
          <w:rFonts w:ascii="Arial" w:hAnsi="Arial" w:cs="Arial"/>
          <w:sz w:val="20"/>
          <w:szCs w:val="20"/>
        </w:rPr>
      </w:pPr>
      <w:r w:rsidRPr="00124B9A">
        <w:rPr>
          <w:rFonts w:ascii="Arial" w:hAnsi="Arial" w:cs="Arial"/>
          <w:sz w:val="20"/>
          <w:szCs w:val="20"/>
        </w:rPr>
        <w:t xml:space="preserve">Hamblin TJ, Orchard JA, Ibboston RE, et al. CD38 expression and immunoglobulin variable region mutations are independent prognostic variables in chronic lymphocytic leukemia, but CD38 expression may vary during the course of the disease. </w:t>
      </w:r>
      <w:r w:rsidRPr="00124B9A">
        <w:rPr>
          <w:rFonts w:ascii="Arial" w:hAnsi="Arial" w:cs="Arial"/>
          <w:i/>
          <w:sz w:val="20"/>
          <w:szCs w:val="20"/>
        </w:rPr>
        <w:t>Blood</w:t>
      </w:r>
      <w:r w:rsidRPr="00124B9A">
        <w:rPr>
          <w:rFonts w:ascii="Arial" w:hAnsi="Arial" w:cs="Arial"/>
          <w:sz w:val="20"/>
          <w:szCs w:val="20"/>
        </w:rPr>
        <w:t>. 2002;99</w:t>
      </w:r>
      <w:r w:rsidR="009D0200" w:rsidRPr="00124B9A">
        <w:rPr>
          <w:rFonts w:ascii="Arial" w:hAnsi="Arial" w:cs="Arial"/>
          <w:sz w:val="20"/>
          <w:szCs w:val="20"/>
        </w:rPr>
        <w:t>(3)</w:t>
      </w:r>
      <w:r w:rsidRPr="00124B9A">
        <w:rPr>
          <w:rFonts w:ascii="Arial" w:hAnsi="Arial" w:cs="Arial"/>
          <w:sz w:val="20"/>
          <w:szCs w:val="20"/>
        </w:rPr>
        <w:t xml:space="preserve">:1023-1029. </w:t>
      </w:r>
    </w:p>
    <w:p w14:paraId="181F2A64" w14:textId="77777777" w:rsidR="004D5CC3" w:rsidRPr="00124B9A" w:rsidRDefault="004D5CC3" w:rsidP="004D5CC3">
      <w:pPr>
        <w:pStyle w:val="ListParagraph"/>
        <w:numPr>
          <w:ilvl w:val="0"/>
          <w:numId w:val="1"/>
        </w:numPr>
        <w:ind w:left="360"/>
        <w:rPr>
          <w:rFonts w:ascii="Arial" w:hAnsi="Arial" w:cs="Arial"/>
          <w:sz w:val="20"/>
          <w:szCs w:val="20"/>
        </w:rPr>
      </w:pPr>
      <w:r w:rsidRPr="00124B9A">
        <w:rPr>
          <w:rFonts w:ascii="Arial" w:hAnsi="Arial" w:cs="Arial"/>
          <w:sz w:val="20"/>
          <w:szCs w:val="20"/>
        </w:rPr>
        <w:t xml:space="preserve">Rosenwald A, Alizadeh AA, Widhopf G, et al. Relation of gene expression phenotype to immunoglobulin mutation genotype in B cell chronic lymphocytic leukemia. </w:t>
      </w:r>
      <w:r w:rsidRPr="00124B9A">
        <w:rPr>
          <w:rFonts w:ascii="Arial" w:hAnsi="Arial" w:cs="Arial"/>
          <w:i/>
          <w:sz w:val="20"/>
          <w:szCs w:val="20"/>
        </w:rPr>
        <w:t>J Exp Med</w:t>
      </w:r>
      <w:r w:rsidRPr="00124B9A">
        <w:rPr>
          <w:rFonts w:ascii="Arial" w:hAnsi="Arial" w:cs="Arial"/>
          <w:sz w:val="20"/>
          <w:szCs w:val="20"/>
        </w:rPr>
        <w:t>. 2001;194</w:t>
      </w:r>
      <w:r w:rsidR="009D0200" w:rsidRPr="00124B9A">
        <w:rPr>
          <w:rFonts w:ascii="Arial" w:hAnsi="Arial" w:cs="Arial"/>
          <w:sz w:val="20"/>
          <w:szCs w:val="20"/>
        </w:rPr>
        <w:t>(11)</w:t>
      </w:r>
      <w:r w:rsidRPr="00124B9A">
        <w:rPr>
          <w:rFonts w:ascii="Arial" w:hAnsi="Arial" w:cs="Arial"/>
          <w:sz w:val="20"/>
          <w:szCs w:val="20"/>
        </w:rPr>
        <w:t>:1639-1647.</w:t>
      </w:r>
    </w:p>
    <w:p w14:paraId="7EAA06A1" w14:textId="77777777" w:rsidR="004D5CC3" w:rsidRPr="00124B9A" w:rsidRDefault="004D5CC3" w:rsidP="004D5CC3">
      <w:pPr>
        <w:pStyle w:val="ListParagraph"/>
        <w:numPr>
          <w:ilvl w:val="0"/>
          <w:numId w:val="1"/>
        </w:numPr>
        <w:ind w:left="360"/>
        <w:rPr>
          <w:rFonts w:ascii="Arial" w:hAnsi="Arial" w:cs="Arial"/>
          <w:sz w:val="20"/>
          <w:szCs w:val="20"/>
        </w:rPr>
      </w:pPr>
      <w:r w:rsidRPr="00124B9A">
        <w:rPr>
          <w:rFonts w:ascii="Arial" w:hAnsi="Arial" w:cs="Arial"/>
          <w:sz w:val="20"/>
          <w:szCs w:val="20"/>
        </w:rPr>
        <w:t xml:space="preserve">Crespo M, Bosch F, Villamor N, et al. ZAP-70 expression as a surrogate for immunoglobulin-variable-region mutations in chronic lymphocytic leukemia. </w:t>
      </w:r>
      <w:r w:rsidRPr="00124B9A">
        <w:rPr>
          <w:rFonts w:ascii="Arial" w:hAnsi="Arial" w:cs="Arial"/>
          <w:i/>
          <w:sz w:val="20"/>
          <w:szCs w:val="20"/>
        </w:rPr>
        <w:t>N Engl J Med</w:t>
      </w:r>
      <w:r w:rsidRPr="00124B9A">
        <w:rPr>
          <w:rFonts w:ascii="Arial" w:hAnsi="Arial" w:cs="Arial"/>
          <w:sz w:val="20"/>
          <w:szCs w:val="20"/>
        </w:rPr>
        <w:t>. 2003;348</w:t>
      </w:r>
      <w:r w:rsidR="009D0200" w:rsidRPr="00124B9A">
        <w:rPr>
          <w:rFonts w:ascii="Arial" w:hAnsi="Arial" w:cs="Arial"/>
          <w:sz w:val="20"/>
          <w:szCs w:val="20"/>
        </w:rPr>
        <w:t>(18)</w:t>
      </w:r>
      <w:r w:rsidRPr="00124B9A">
        <w:rPr>
          <w:rFonts w:ascii="Arial" w:hAnsi="Arial" w:cs="Arial"/>
          <w:sz w:val="20"/>
          <w:szCs w:val="20"/>
        </w:rPr>
        <w:t>:1764-1775.</w:t>
      </w:r>
    </w:p>
    <w:p w14:paraId="5BCD598E" w14:textId="77777777" w:rsidR="00D154F1" w:rsidRPr="00124B9A" w:rsidRDefault="00D154F1" w:rsidP="004D5CC3">
      <w:pPr>
        <w:pStyle w:val="ListParagraph"/>
        <w:numPr>
          <w:ilvl w:val="0"/>
          <w:numId w:val="1"/>
        </w:numPr>
        <w:ind w:left="360"/>
        <w:rPr>
          <w:rFonts w:ascii="Arial" w:hAnsi="Arial" w:cs="Arial"/>
          <w:sz w:val="20"/>
          <w:szCs w:val="20"/>
        </w:rPr>
      </w:pPr>
      <w:r w:rsidRPr="00124B9A">
        <w:rPr>
          <w:rFonts w:ascii="Arial" w:hAnsi="Arial" w:cs="Arial"/>
          <w:sz w:val="20"/>
          <w:szCs w:val="20"/>
        </w:rPr>
        <w:t>Letestu R, Rawstron A, Ghia P, et al. Evaluation of ZAP-70 expression</w:t>
      </w:r>
      <w:r w:rsidR="00B737AE" w:rsidRPr="00124B9A">
        <w:rPr>
          <w:rFonts w:ascii="Arial" w:hAnsi="Arial" w:cs="Arial"/>
          <w:sz w:val="20"/>
          <w:szCs w:val="20"/>
        </w:rPr>
        <w:t xml:space="preserve"> </w:t>
      </w:r>
      <w:r w:rsidRPr="00124B9A">
        <w:rPr>
          <w:rFonts w:ascii="Arial" w:hAnsi="Arial" w:cs="Arial"/>
          <w:sz w:val="20"/>
          <w:szCs w:val="20"/>
        </w:rPr>
        <w:t>by flow cytometry in</w:t>
      </w:r>
      <w:r w:rsidR="008D4209" w:rsidRPr="00124B9A">
        <w:rPr>
          <w:rFonts w:ascii="Arial" w:hAnsi="Arial" w:cs="Arial"/>
          <w:sz w:val="20"/>
          <w:szCs w:val="20"/>
        </w:rPr>
        <w:t xml:space="preserve"> chronic lymphocytic leukemia: a</w:t>
      </w:r>
      <w:r w:rsidRPr="00124B9A">
        <w:rPr>
          <w:rFonts w:ascii="Arial" w:hAnsi="Arial" w:cs="Arial"/>
          <w:sz w:val="20"/>
          <w:szCs w:val="20"/>
        </w:rPr>
        <w:t xml:space="preserve"> multicentric international</w:t>
      </w:r>
      <w:r w:rsidR="00FA10A1" w:rsidRPr="00124B9A">
        <w:rPr>
          <w:rFonts w:ascii="Arial" w:hAnsi="Arial" w:cs="Arial"/>
          <w:sz w:val="20"/>
          <w:szCs w:val="20"/>
        </w:rPr>
        <w:t xml:space="preserve"> </w:t>
      </w:r>
      <w:r w:rsidRPr="00124B9A">
        <w:rPr>
          <w:rFonts w:ascii="Arial" w:hAnsi="Arial" w:cs="Arial"/>
          <w:sz w:val="20"/>
          <w:szCs w:val="20"/>
        </w:rPr>
        <w:t xml:space="preserve">harmonization process. </w:t>
      </w:r>
      <w:r w:rsidRPr="00124B9A">
        <w:rPr>
          <w:rFonts w:ascii="Arial" w:hAnsi="Arial" w:cs="Arial"/>
          <w:i/>
          <w:sz w:val="20"/>
          <w:szCs w:val="20"/>
        </w:rPr>
        <w:t>Cytometry B Clin Cytom.</w:t>
      </w:r>
      <w:r w:rsidR="008D4209" w:rsidRPr="00124B9A">
        <w:rPr>
          <w:rFonts w:ascii="Arial" w:hAnsi="Arial" w:cs="Arial"/>
          <w:sz w:val="20"/>
          <w:szCs w:val="20"/>
        </w:rPr>
        <w:t xml:space="preserve"> 2006</w:t>
      </w:r>
      <w:r w:rsidRPr="00124B9A">
        <w:rPr>
          <w:rFonts w:ascii="Arial" w:hAnsi="Arial" w:cs="Arial"/>
          <w:sz w:val="20"/>
          <w:szCs w:val="20"/>
        </w:rPr>
        <w:t>;70(4):309-</w:t>
      </w:r>
      <w:r w:rsidR="008D4209" w:rsidRPr="00124B9A">
        <w:rPr>
          <w:rFonts w:ascii="Arial" w:hAnsi="Arial" w:cs="Arial"/>
          <w:sz w:val="20"/>
          <w:szCs w:val="20"/>
        </w:rPr>
        <w:t>3</w:t>
      </w:r>
      <w:r w:rsidRPr="00124B9A">
        <w:rPr>
          <w:rFonts w:ascii="Arial" w:hAnsi="Arial" w:cs="Arial"/>
          <w:sz w:val="20"/>
          <w:szCs w:val="20"/>
        </w:rPr>
        <w:t>14.</w:t>
      </w:r>
    </w:p>
    <w:p w14:paraId="6FF17B38" w14:textId="77777777" w:rsidR="004D5CC3" w:rsidRPr="00124B9A" w:rsidRDefault="004D5CC3" w:rsidP="004D5CC3">
      <w:pPr>
        <w:rPr>
          <w:rFonts w:cs="Arial"/>
          <w:szCs w:val="20"/>
          <w:shd w:val="clear" w:color="auto" w:fill="FFFFFF"/>
        </w:rPr>
      </w:pPr>
    </w:p>
    <w:p w14:paraId="1E10FCFF" w14:textId="77777777" w:rsidR="00D404CE" w:rsidRPr="00124B9A" w:rsidRDefault="00D404CE" w:rsidP="004D5CC3">
      <w:pPr>
        <w:rPr>
          <w:rFonts w:cs="Arial"/>
        </w:rPr>
      </w:pPr>
    </w:p>
    <w:sectPr w:rsidR="00D404CE" w:rsidRPr="00124B9A" w:rsidSect="00283716">
      <w:headerReference w:type="default" r:id="rId16"/>
      <w:footerReference w:type="default" r:id="rId1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E183" w14:textId="77777777" w:rsidR="00D8171C" w:rsidRDefault="00D8171C" w:rsidP="00432CE6">
      <w:r>
        <w:separator/>
      </w:r>
    </w:p>
  </w:endnote>
  <w:endnote w:type="continuationSeparator" w:id="0">
    <w:p w14:paraId="7D1A2A7E" w14:textId="77777777" w:rsidR="00D8171C" w:rsidRDefault="00D8171C" w:rsidP="0043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DBB0" w14:textId="77777777" w:rsidR="00D8171C" w:rsidRDefault="00D8171C" w:rsidP="00283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BC687" w14:textId="77777777" w:rsidR="00D8171C" w:rsidRDefault="00D8171C" w:rsidP="00283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B366" w14:textId="77777777" w:rsidR="00D8171C" w:rsidRDefault="00D8171C" w:rsidP="00283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E7C">
      <w:rPr>
        <w:rStyle w:val="PageNumber"/>
        <w:noProof/>
      </w:rPr>
      <w:t>2</w:t>
    </w:r>
    <w:r>
      <w:rPr>
        <w:rStyle w:val="PageNumber"/>
      </w:rPr>
      <w:fldChar w:fldCharType="end"/>
    </w:r>
  </w:p>
  <w:p w14:paraId="68773967" w14:textId="77777777" w:rsidR="00D8171C" w:rsidRPr="007F5636" w:rsidRDefault="00D8171C" w:rsidP="00283716">
    <w:pPr>
      <w:pStyle w:val="Footer"/>
      <w:tabs>
        <w:tab w:val="clear" w:pos="4320"/>
      </w:tabs>
      <w:ind w:left="180" w:right="360" w:hanging="18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345E" w14:textId="77777777" w:rsidR="00D5675D" w:rsidRPr="00D5675D" w:rsidRDefault="00D5675D" w:rsidP="00D5675D">
    <w:pPr>
      <w:widowControl w:val="0"/>
      <w:autoSpaceDE w:val="0"/>
      <w:autoSpaceDN w:val="0"/>
      <w:adjustRightInd w:val="0"/>
      <w:rPr>
        <w:color w:val="1F497D"/>
        <w:kern w:val="22"/>
        <w:sz w:val="16"/>
        <w:szCs w:val="16"/>
      </w:rPr>
    </w:pPr>
    <w:r w:rsidRPr="00D5675D">
      <w:rPr>
        <w:rFonts w:cs="Arial"/>
        <w:b/>
        <w:kern w:val="22"/>
        <w:sz w:val="16"/>
        <w:szCs w:val="16"/>
      </w:rPr>
      <w:t>© 2017 College of American Pathologists (CAP). All rights reserved.</w:t>
    </w:r>
    <w:r w:rsidRPr="00D5675D">
      <w:rPr>
        <w:color w:val="1F497D"/>
        <w:kern w:val="22"/>
        <w:sz w:val="16"/>
        <w:szCs w:val="16"/>
      </w:rPr>
      <w:t xml:space="preserve"> </w:t>
    </w:r>
  </w:p>
  <w:p w14:paraId="74618C00" w14:textId="2AD86279" w:rsidR="00D5675D" w:rsidRPr="00D5675D" w:rsidRDefault="00D5675D" w:rsidP="00D5675D">
    <w:pPr>
      <w:widowControl w:val="0"/>
      <w:autoSpaceDE w:val="0"/>
      <w:autoSpaceDN w:val="0"/>
      <w:adjustRightInd w:val="0"/>
    </w:pPr>
    <w:r w:rsidRPr="00D5675D">
      <w:rPr>
        <w:color w:val="000000"/>
        <w:kern w:val="22"/>
        <w:sz w:val="16"/>
        <w:szCs w:val="16"/>
      </w:rPr>
      <w:t xml:space="preserve">For Terms of Use please visit </w:t>
    </w:r>
    <w:hyperlink r:id="rId1" w:history="1">
      <w:r w:rsidRPr="00D5675D">
        <w:rPr>
          <w:color w:val="000000"/>
          <w:kern w:val="22"/>
          <w:sz w:val="16"/>
          <w:szCs w:val="16"/>
          <w:u w:val="single"/>
        </w:rPr>
        <w:t>www.cap.org/cancerprotocols</w:t>
      </w:r>
    </w:hyperlink>
    <w:r w:rsidRPr="00D5675D">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20462"/>
      <w:docPartObj>
        <w:docPartGallery w:val="Page Numbers (Bottom of Page)"/>
        <w:docPartUnique/>
      </w:docPartObj>
    </w:sdtPr>
    <w:sdtEndPr/>
    <w:sdtContent>
      <w:p w14:paraId="2B1025AC" w14:textId="77777777" w:rsidR="00D8171C" w:rsidRDefault="00D8171C">
        <w:pPr>
          <w:pStyle w:val="Footer"/>
          <w:jc w:val="right"/>
        </w:pPr>
        <w:r>
          <w:fldChar w:fldCharType="begin"/>
        </w:r>
        <w:r>
          <w:instrText xml:space="preserve"> PAGE   \* MERGEFORMAT </w:instrText>
        </w:r>
        <w:r>
          <w:fldChar w:fldCharType="separate"/>
        </w:r>
        <w:r w:rsidR="00A73E4B">
          <w:rPr>
            <w:noProof/>
          </w:rPr>
          <w:t>2</w:t>
        </w:r>
        <w:r>
          <w:rPr>
            <w:noProof/>
          </w:rPr>
          <w:fldChar w:fldCharType="end"/>
        </w:r>
      </w:p>
    </w:sdtContent>
  </w:sdt>
  <w:p w14:paraId="2581F7C7" w14:textId="664BA89B" w:rsidR="00D8171C" w:rsidRPr="00122C75" w:rsidRDefault="00847B5D" w:rsidP="00847B5D">
    <w:pPr>
      <w:tabs>
        <w:tab w:val="right" w:pos="8640"/>
      </w:tabs>
      <w:ind w:left="187" w:hanging="187"/>
      <w:rPr>
        <w:sz w:val="16"/>
        <w:szCs w:val="16"/>
      </w:rPr>
    </w:pPr>
    <w:r w:rsidRPr="00847B5D">
      <w:rPr>
        <w:sz w:val="16"/>
        <w:szCs w:val="16"/>
      </w:rPr>
      <w:t xml:space="preserve">+ </w:t>
    </w:r>
    <w:r w:rsidRPr="00847B5D">
      <w:rPr>
        <w:sz w:val="16"/>
        <w:szCs w:val="16"/>
      </w:rPr>
      <w:tab/>
      <w:t>Data elements preceded by this symbol are not required for accreditation purposes.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40346"/>
      <w:docPartObj>
        <w:docPartGallery w:val="Page Numbers (Bottom of Page)"/>
        <w:docPartUnique/>
      </w:docPartObj>
    </w:sdtPr>
    <w:sdtEndPr/>
    <w:sdtContent>
      <w:p w14:paraId="644444BD" w14:textId="77777777" w:rsidR="00D8171C" w:rsidRDefault="00D8171C">
        <w:pPr>
          <w:pStyle w:val="Footer"/>
          <w:jc w:val="right"/>
        </w:pPr>
        <w:r>
          <w:fldChar w:fldCharType="begin"/>
        </w:r>
        <w:r>
          <w:instrText xml:space="preserve"> PAGE   \* MERGEFORMAT </w:instrText>
        </w:r>
        <w:r>
          <w:fldChar w:fldCharType="separate"/>
        </w:r>
        <w:r w:rsidR="00A73E4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7A9D" w14:textId="77777777" w:rsidR="00D8171C" w:rsidRDefault="00D8171C" w:rsidP="00432CE6">
      <w:r>
        <w:separator/>
      </w:r>
    </w:p>
  </w:footnote>
  <w:footnote w:type="continuationSeparator" w:id="0">
    <w:p w14:paraId="6BFE8415" w14:textId="77777777" w:rsidR="00D8171C" w:rsidRDefault="00D8171C" w:rsidP="00432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AF1F" w14:textId="77777777" w:rsidR="0062480A" w:rsidRDefault="00624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3477" w14:textId="77777777" w:rsidR="00D8171C" w:rsidRDefault="00D8171C" w:rsidP="00283716">
    <w:pPr>
      <w:pStyle w:val="Header"/>
      <w:tabs>
        <w:tab w:val="clear" w:pos="4320"/>
        <w:tab w:val="clear" w:pos="8640"/>
        <w:tab w:val="right" w:pos="10080"/>
      </w:tabs>
      <w:rPr>
        <w:b/>
      </w:rPr>
    </w:pPr>
    <w:r>
      <w:rPr>
        <w:b/>
      </w:rPr>
      <w:tab/>
    </w:r>
    <w:r w:rsidRPr="00DE6A34">
      <w:rPr>
        <w:b/>
        <w:kern w:val="18"/>
      </w:rPr>
      <w:t>Chronic Lymphocytic Leukemia</w:t>
    </w:r>
    <w:r>
      <w:rPr>
        <w:b/>
      </w:rPr>
      <w:t xml:space="preserve"> • Biomarkers</w:t>
    </w:r>
  </w:p>
  <w:p w14:paraId="4D488595" w14:textId="557C1B00" w:rsidR="00D8171C" w:rsidRPr="007F5636" w:rsidRDefault="00D8171C" w:rsidP="00283716">
    <w:pPr>
      <w:pStyle w:val="Header"/>
      <w:tabs>
        <w:tab w:val="clear" w:pos="4320"/>
        <w:tab w:val="clear" w:pos="8640"/>
        <w:tab w:val="right" w:pos="10080"/>
      </w:tabs>
      <w:rPr>
        <w:b/>
        <w:sz w:val="18"/>
        <w:szCs w:val="18"/>
      </w:rPr>
    </w:pPr>
    <w:r>
      <w:tab/>
      <w:t>CLL_</w:t>
    </w:r>
    <w:r w:rsidRPr="007F5636">
      <w:rPr>
        <w:sz w:val="18"/>
        <w:szCs w:val="18"/>
      </w:rPr>
      <w:t>Biomark</w:t>
    </w:r>
    <w:r>
      <w:rPr>
        <w:sz w:val="18"/>
        <w:szCs w:val="18"/>
      </w:rPr>
      <w:t>ers 1.0.0.1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220B" w14:textId="585F9D31" w:rsidR="00D8171C" w:rsidRDefault="00D5675D">
    <w:pPr>
      <w:pStyle w:val="Header"/>
    </w:pPr>
    <w:r>
      <w:rPr>
        <w:noProof/>
      </w:rPr>
      <w:drawing>
        <wp:inline distT="0" distB="0" distL="0" distR="0" wp14:anchorId="3F6D506D" wp14:editId="2338E2C0">
          <wp:extent cx="296164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514350"/>
                  </a:xfrm>
                  <a:prstGeom prst="rect">
                    <a:avLst/>
                  </a:prstGeom>
                  <a:noFill/>
                </pic:spPr>
              </pic:pic>
            </a:graphicData>
          </a:graphic>
        </wp:inline>
      </w:drawing>
    </w:r>
  </w:p>
  <w:p w14:paraId="671E388A" w14:textId="77777777" w:rsidR="00D5675D" w:rsidRPr="00D5675D" w:rsidRDefault="00D5675D">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6CB09" w14:textId="77777777" w:rsidR="00D8171C" w:rsidRDefault="00D8171C" w:rsidP="00283716">
    <w:pPr>
      <w:pStyle w:val="Header"/>
      <w:tabs>
        <w:tab w:val="clear" w:pos="4320"/>
        <w:tab w:val="clear" w:pos="8640"/>
        <w:tab w:val="right" w:pos="10080"/>
      </w:tabs>
      <w:rPr>
        <w:b/>
      </w:rPr>
    </w:pPr>
    <w:r>
      <w:rPr>
        <w:b/>
      </w:rPr>
      <w:t>CAP Approved</w:t>
    </w:r>
    <w:r>
      <w:rPr>
        <w:b/>
      </w:rPr>
      <w:tab/>
    </w:r>
    <w:r w:rsidRPr="00DE6A34">
      <w:rPr>
        <w:b/>
        <w:kern w:val="18"/>
      </w:rPr>
      <w:t>Chronic Lymphocytic Leukemia</w:t>
    </w:r>
    <w:r>
      <w:rPr>
        <w:b/>
      </w:rPr>
      <w:t xml:space="preserve"> • Biomarkers</w:t>
    </w:r>
  </w:p>
  <w:p w14:paraId="3FC803A4" w14:textId="1348A2DD" w:rsidR="00D8171C" w:rsidRPr="007F5636" w:rsidRDefault="00D8171C" w:rsidP="00283716">
    <w:pPr>
      <w:pStyle w:val="Header"/>
      <w:tabs>
        <w:tab w:val="clear" w:pos="4320"/>
        <w:tab w:val="clear" w:pos="8640"/>
        <w:tab w:val="right" w:pos="10080"/>
      </w:tabs>
      <w:rPr>
        <w:b/>
        <w:sz w:val="18"/>
        <w:szCs w:val="18"/>
      </w:rPr>
    </w:pPr>
    <w:r>
      <w:tab/>
      <w:t>CLL_</w:t>
    </w:r>
    <w:r w:rsidRPr="007F5636">
      <w:rPr>
        <w:sz w:val="18"/>
        <w:szCs w:val="18"/>
      </w:rPr>
      <w:t>Biomark</w:t>
    </w:r>
    <w:r>
      <w:rPr>
        <w:sz w:val="18"/>
        <w:szCs w:val="18"/>
      </w:rPr>
      <w:t>ers 1.0.0.</w:t>
    </w:r>
    <w:r w:rsidR="000C7E7C">
      <w:rPr>
        <w:sz w:val="18"/>
        <w:szCs w:val="18"/>
      </w:rPr>
      <w:t>2</w:t>
    </w:r>
  </w:p>
  <w:p w14:paraId="77408F94" w14:textId="77777777" w:rsidR="00D8171C" w:rsidRPr="007F5636" w:rsidRDefault="00D8171C" w:rsidP="00283716">
    <w:pPr>
      <w:pStyle w:val="Header"/>
      <w:tabs>
        <w:tab w:val="clear" w:pos="4320"/>
      </w:tabs>
      <w:rPr>
        <w:b/>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D99F" w14:textId="77777777" w:rsidR="00D8171C" w:rsidRDefault="00D8171C" w:rsidP="00283716">
    <w:pPr>
      <w:pStyle w:val="Header"/>
      <w:tabs>
        <w:tab w:val="clear" w:pos="4320"/>
        <w:tab w:val="clear" w:pos="8640"/>
        <w:tab w:val="right" w:pos="10080"/>
      </w:tabs>
      <w:rPr>
        <w:b/>
      </w:rPr>
    </w:pPr>
    <w:r>
      <w:rPr>
        <w:b/>
      </w:rPr>
      <w:t>Background Documentation</w:t>
    </w:r>
    <w:r>
      <w:rPr>
        <w:b/>
      </w:rPr>
      <w:tab/>
    </w:r>
    <w:r w:rsidRPr="00DE6A34">
      <w:rPr>
        <w:b/>
        <w:kern w:val="18"/>
      </w:rPr>
      <w:t>Chronic Lymphocytic Leukemia</w:t>
    </w:r>
    <w:r>
      <w:rPr>
        <w:b/>
      </w:rPr>
      <w:t xml:space="preserve"> • Biomarkers</w:t>
    </w:r>
  </w:p>
  <w:p w14:paraId="34739183" w14:textId="0CC1CB86" w:rsidR="00D8171C" w:rsidRPr="007F5636" w:rsidRDefault="00D8171C" w:rsidP="00283716">
    <w:pPr>
      <w:pStyle w:val="Header"/>
      <w:tabs>
        <w:tab w:val="clear" w:pos="4320"/>
        <w:tab w:val="clear" w:pos="8640"/>
        <w:tab w:val="right" w:pos="10080"/>
      </w:tabs>
      <w:rPr>
        <w:b/>
        <w:sz w:val="18"/>
        <w:szCs w:val="18"/>
      </w:rPr>
    </w:pPr>
    <w:r>
      <w:tab/>
      <w:t>CLL_</w:t>
    </w:r>
    <w:r w:rsidRPr="007F5636">
      <w:rPr>
        <w:sz w:val="18"/>
        <w:szCs w:val="18"/>
      </w:rPr>
      <w:t>Biomark</w:t>
    </w:r>
    <w:r w:rsidR="0062480A">
      <w:rPr>
        <w:sz w:val="18"/>
        <w:szCs w:val="18"/>
      </w:rPr>
      <w:t>ers 1.0.0.2</w:t>
    </w:r>
  </w:p>
  <w:p w14:paraId="50A22608" w14:textId="77777777" w:rsidR="00D8171C" w:rsidRPr="007F5636" w:rsidRDefault="00D8171C" w:rsidP="00283716">
    <w:pPr>
      <w:pStyle w:val="Header"/>
      <w:tabs>
        <w:tab w:val="clear" w:pos="4320"/>
      </w:tabs>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6025"/>
    <w:multiLevelType w:val="hybridMultilevel"/>
    <w:tmpl w:val="B420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C3"/>
    <w:rsid w:val="0001298F"/>
    <w:rsid w:val="00085D8A"/>
    <w:rsid w:val="000C17CC"/>
    <w:rsid w:val="000C1AFF"/>
    <w:rsid w:val="000C6FEA"/>
    <w:rsid w:val="000C7E7C"/>
    <w:rsid w:val="000F0FB7"/>
    <w:rsid w:val="00112F30"/>
    <w:rsid w:val="00124B9A"/>
    <w:rsid w:val="001556DC"/>
    <w:rsid w:val="001A11C1"/>
    <w:rsid w:val="001D5DFA"/>
    <w:rsid w:val="001D76DB"/>
    <w:rsid w:val="001E2B34"/>
    <w:rsid w:val="001E6979"/>
    <w:rsid w:val="0024565D"/>
    <w:rsid w:val="00283716"/>
    <w:rsid w:val="00352010"/>
    <w:rsid w:val="00363FF0"/>
    <w:rsid w:val="00366609"/>
    <w:rsid w:val="003735C9"/>
    <w:rsid w:val="00377BD3"/>
    <w:rsid w:val="00386748"/>
    <w:rsid w:val="003A1FD7"/>
    <w:rsid w:val="003C131D"/>
    <w:rsid w:val="0042143F"/>
    <w:rsid w:val="00430864"/>
    <w:rsid w:val="00432CE6"/>
    <w:rsid w:val="00442EF2"/>
    <w:rsid w:val="00474E68"/>
    <w:rsid w:val="004C6935"/>
    <w:rsid w:val="004D5CC3"/>
    <w:rsid w:val="00551576"/>
    <w:rsid w:val="005B6AF7"/>
    <w:rsid w:val="005D32E8"/>
    <w:rsid w:val="0062480A"/>
    <w:rsid w:val="00683690"/>
    <w:rsid w:val="00695208"/>
    <w:rsid w:val="006A27DD"/>
    <w:rsid w:val="006A3220"/>
    <w:rsid w:val="006D0145"/>
    <w:rsid w:val="006F2DBA"/>
    <w:rsid w:val="0073238B"/>
    <w:rsid w:val="0073698C"/>
    <w:rsid w:val="007632AA"/>
    <w:rsid w:val="007C2DDF"/>
    <w:rsid w:val="00826A8C"/>
    <w:rsid w:val="00847B5D"/>
    <w:rsid w:val="00870BB4"/>
    <w:rsid w:val="00877ACD"/>
    <w:rsid w:val="008B2217"/>
    <w:rsid w:val="008D4209"/>
    <w:rsid w:val="008E2CAC"/>
    <w:rsid w:val="00906398"/>
    <w:rsid w:val="0095547B"/>
    <w:rsid w:val="0098250E"/>
    <w:rsid w:val="009A2973"/>
    <w:rsid w:val="009D0200"/>
    <w:rsid w:val="009D6904"/>
    <w:rsid w:val="00A27B3D"/>
    <w:rsid w:val="00A73E4B"/>
    <w:rsid w:val="00A77C99"/>
    <w:rsid w:val="00A87CA6"/>
    <w:rsid w:val="00A9647E"/>
    <w:rsid w:val="00B032D6"/>
    <w:rsid w:val="00B227B7"/>
    <w:rsid w:val="00B33D84"/>
    <w:rsid w:val="00B63264"/>
    <w:rsid w:val="00B737AE"/>
    <w:rsid w:val="00C12CBA"/>
    <w:rsid w:val="00C24256"/>
    <w:rsid w:val="00C26AB1"/>
    <w:rsid w:val="00C64131"/>
    <w:rsid w:val="00C80726"/>
    <w:rsid w:val="00C90D0A"/>
    <w:rsid w:val="00C943D2"/>
    <w:rsid w:val="00CD27C0"/>
    <w:rsid w:val="00CE4565"/>
    <w:rsid w:val="00CE5E72"/>
    <w:rsid w:val="00D154F1"/>
    <w:rsid w:val="00D16CD7"/>
    <w:rsid w:val="00D2435C"/>
    <w:rsid w:val="00D404CE"/>
    <w:rsid w:val="00D5675D"/>
    <w:rsid w:val="00D63779"/>
    <w:rsid w:val="00D674B7"/>
    <w:rsid w:val="00D8171C"/>
    <w:rsid w:val="00DF1D42"/>
    <w:rsid w:val="00E37E26"/>
    <w:rsid w:val="00E41996"/>
    <w:rsid w:val="00E538C5"/>
    <w:rsid w:val="00E72110"/>
    <w:rsid w:val="00E90003"/>
    <w:rsid w:val="00E96872"/>
    <w:rsid w:val="00E9789B"/>
    <w:rsid w:val="00EB1DB3"/>
    <w:rsid w:val="00EC3DDF"/>
    <w:rsid w:val="00F742CD"/>
    <w:rsid w:val="00FA10A1"/>
    <w:rsid w:val="00FE4F8B"/>
    <w:rsid w:val="00FE77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70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9A"/>
    <w:rPr>
      <w:rFonts w:ascii="Arial" w:eastAsia="Times New Roman" w:hAnsi="Arial" w:cs="Times New Roman"/>
      <w:sz w:val="20"/>
    </w:rPr>
  </w:style>
  <w:style w:type="paragraph" w:styleId="Heading2">
    <w:name w:val="heading 2"/>
    <w:basedOn w:val="Normal"/>
    <w:next w:val="Normal"/>
    <w:link w:val="Heading2Char"/>
    <w:qFormat/>
    <w:rsid w:val="004D5CC3"/>
    <w:pPr>
      <w:keepNext/>
      <w:outlineLvl w:val="1"/>
    </w:pPr>
    <w:rPr>
      <w:rFonts w:ascii="Times New Roman" w:hAnsi="Times New Roman"/>
      <w:b/>
      <w:bCs/>
      <w:sz w:val="24"/>
      <w:u w:val="single"/>
    </w:rPr>
  </w:style>
  <w:style w:type="paragraph" w:styleId="Heading3">
    <w:name w:val="heading 3"/>
    <w:basedOn w:val="Normal"/>
    <w:next w:val="Normal"/>
    <w:link w:val="Heading3Char"/>
    <w:qFormat/>
    <w:rsid w:val="004D5CC3"/>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CC3"/>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4D5CC3"/>
    <w:rPr>
      <w:rFonts w:ascii="Times New Roman" w:eastAsia="Times New Roman" w:hAnsi="Times New Roman" w:cs="Times New Roman"/>
      <w:b/>
      <w:bCs/>
      <w:color w:val="0A0905"/>
      <w:szCs w:val="18"/>
      <w:u w:val="single"/>
    </w:rPr>
  </w:style>
  <w:style w:type="paragraph" w:styleId="NormalWeb">
    <w:name w:val="Normal (Web)"/>
    <w:basedOn w:val="Normal"/>
    <w:uiPriority w:val="99"/>
    <w:rsid w:val="004D5CC3"/>
    <w:pPr>
      <w:spacing w:before="100" w:beforeAutospacing="1" w:after="100" w:afterAutospacing="1"/>
    </w:pPr>
  </w:style>
  <w:style w:type="character" w:styleId="Strong">
    <w:name w:val="Strong"/>
    <w:basedOn w:val="DefaultParagraphFont"/>
    <w:uiPriority w:val="99"/>
    <w:qFormat/>
    <w:rsid w:val="004D5CC3"/>
    <w:rPr>
      <w:rFonts w:cs="Times New Roman"/>
      <w:b/>
    </w:rPr>
  </w:style>
  <w:style w:type="paragraph" w:customStyle="1" w:styleId="Head2">
    <w:name w:val="Head 2"/>
    <w:basedOn w:val="Normal"/>
    <w:uiPriority w:val="99"/>
    <w:rsid w:val="004D5CC3"/>
    <w:pPr>
      <w:pBdr>
        <w:bottom w:val="single" w:sz="4" w:space="1" w:color="auto"/>
      </w:pBdr>
      <w:tabs>
        <w:tab w:val="left" w:pos="446"/>
      </w:tabs>
      <w:spacing w:after="60"/>
    </w:pPr>
    <w:rPr>
      <w:b/>
      <w:kern w:val="24"/>
      <w:sz w:val="26"/>
      <w:szCs w:val="20"/>
    </w:rPr>
  </w:style>
  <w:style w:type="paragraph" w:styleId="Header">
    <w:name w:val="header"/>
    <w:basedOn w:val="Normal"/>
    <w:link w:val="HeaderChar"/>
    <w:uiPriority w:val="99"/>
    <w:rsid w:val="004D5CC3"/>
    <w:pPr>
      <w:tabs>
        <w:tab w:val="center" w:pos="4320"/>
        <w:tab w:val="right" w:pos="8640"/>
      </w:tabs>
    </w:pPr>
  </w:style>
  <w:style w:type="character" w:customStyle="1" w:styleId="HeaderChar">
    <w:name w:val="Header Char"/>
    <w:basedOn w:val="DefaultParagraphFont"/>
    <w:link w:val="Header"/>
    <w:uiPriority w:val="99"/>
    <w:rsid w:val="004D5CC3"/>
    <w:rPr>
      <w:rFonts w:ascii="Century Gothic" w:eastAsia="Times New Roman" w:hAnsi="Century Gothic" w:cs="Times New Roman"/>
      <w:sz w:val="20"/>
    </w:rPr>
  </w:style>
  <w:style w:type="paragraph" w:styleId="Footer">
    <w:name w:val="footer"/>
    <w:basedOn w:val="Normal"/>
    <w:link w:val="FooterChar"/>
    <w:uiPriority w:val="99"/>
    <w:rsid w:val="004D5CC3"/>
    <w:pPr>
      <w:tabs>
        <w:tab w:val="center" w:pos="4320"/>
        <w:tab w:val="right" w:pos="8640"/>
      </w:tabs>
    </w:pPr>
  </w:style>
  <w:style w:type="character" w:customStyle="1" w:styleId="FooterChar">
    <w:name w:val="Footer Char"/>
    <w:basedOn w:val="DefaultParagraphFont"/>
    <w:link w:val="Footer"/>
    <w:uiPriority w:val="99"/>
    <w:rsid w:val="004D5CC3"/>
    <w:rPr>
      <w:rFonts w:ascii="Century Gothic" w:eastAsia="Times New Roman" w:hAnsi="Century Gothic" w:cs="Times New Roman"/>
      <w:sz w:val="20"/>
    </w:rPr>
  </w:style>
  <w:style w:type="paragraph" w:styleId="BodyText2">
    <w:name w:val="Body Text 2"/>
    <w:basedOn w:val="Normal"/>
    <w:link w:val="BodyText2Char"/>
    <w:semiHidden/>
    <w:rsid w:val="004D5CC3"/>
    <w:pPr>
      <w:spacing w:line="480" w:lineRule="auto"/>
    </w:pPr>
    <w:rPr>
      <w:rFonts w:cs="Arial"/>
      <w:sz w:val="22"/>
      <w:szCs w:val="22"/>
    </w:rPr>
  </w:style>
  <w:style w:type="character" w:customStyle="1" w:styleId="BodyText2Char">
    <w:name w:val="Body Text 2 Char"/>
    <w:basedOn w:val="DefaultParagraphFont"/>
    <w:link w:val="BodyText2"/>
    <w:semiHidden/>
    <w:rsid w:val="004D5CC3"/>
    <w:rPr>
      <w:rFonts w:ascii="Century Gothic" w:eastAsia="Times New Roman" w:hAnsi="Century Gothic" w:cs="Arial"/>
      <w:sz w:val="22"/>
      <w:szCs w:val="22"/>
    </w:rPr>
  </w:style>
  <w:style w:type="character" w:customStyle="1" w:styleId="jrnl">
    <w:name w:val="jrnl"/>
    <w:basedOn w:val="DefaultParagraphFont"/>
    <w:rsid w:val="004D5CC3"/>
  </w:style>
  <w:style w:type="character" w:styleId="PageNumber">
    <w:name w:val="page number"/>
    <w:basedOn w:val="DefaultParagraphFont"/>
    <w:uiPriority w:val="99"/>
    <w:semiHidden/>
    <w:rsid w:val="004D5CC3"/>
    <w:rPr>
      <w:rFonts w:cs="Times New Roman"/>
    </w:rPr>
  </w:style>
  <w:style w:type="paragraph" w:styleId="ListParagraph">
    <w:name w:val="List Paragraph"/>
    <w:basedOn w:val="Normal"/>
    <w:uiPriority w:val="34"/>
    <w:qFormat/>
    <w:rsid w:val="004D5CC3"/>
    <w:pPr>
      <w:ind w:left="720"/>
      <w:contextualSpacing/>
    </w:pPr>
    <w:rPr>
      <w:rFonts w:ascii="Times New Roman" w:hAnsi="Times New Roman"/>
      <w:sz w:val="24"/>
    </w:rPr>
  </w:style>
  <w:style w:type="paragraph" w:styleId="PlainText">
    <w:name w:val="Plain Text"/>
    <w:basedOn w:val="Normal"/>
    <w:link w:val="PlainTextChar"/>
    <w:uiPriority w:val="99"/>
    <w:unhideWhenUsed/>
    <w:rsid w:val="004D5CC3"/>
    <w:rPr>
      <w:rFonts w:ascii="Consolas" w:hAnsi="Consolas"/>
      <w:sz w:val="21"/>
      <w:szCs w:val="21"/>
    </w:rPr>
  </w:style>
  <w:style w:type="character" w:customStyle="1" w:styleId="PlainTextChar">
    <w:name w:val="Plain Text Char"/>
    <w:basedOn w:val="DefaultParagraphFont"/>
    <w:link w:val="PlainText"/>
    <w:uiPriority w:val="99"/>
    <w:rsid w:val="004D5CC3"/>
    <w:rPr>
      <w:rFonts w:ascii="Consolas" w:eastAsia="Times New Roman" w:hAnsi="Consolas" w:cs="Times New Roman"/>
      <w:sz w:val="21"/>
      <w:szCs w:val="21"/>
    </w:rPr>
  </w:style>
  <w:style w:type="table" w:styleId="TableGrid">
    <w:name w:val="Table Grid"/>
    <w:basedOn w:val="TableNormal"/>
    <w:uiPriority w:val="59"/>
    <w:rsid w:val="004D5CC3"/>
    <w:rPr>
      <w:rFonts w:ascii="Times New Roman" w:eastAsiaTheme="minorHAnsi"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D5CC3"/>
    <w:rPr>
      <w:sz w:val="18"/>
      <w:szCs w:val="18"/>
    </w:rPr>
  </w:style>
  <w:style w:type="paragraph" w:styleId="CommentText">
    <w:name w:val="annotation text"/>
    <w:basedOn w:val="Normal"/>
    <w:link w:val="CommentTextChar"/>
    <w:uiPriority w:val="99"/>
    <w:rsid w:val="004D5CC3"/>
    <w:rPr>
      <w:sz w:val="24"/>
    </w:rPr>
  </w:style>
  <w:style w:type="character" w:customStyle="1" w:styleId="CommentTextChar">
    <w:name w:val="Comment Text Char"/>
    <w:basedOn w:val="DefaultParagraphFont"/>
    <w:link w:val="CommentText"/>
    <w:uiPriority w:val="99"/>
    <w:rsid w:val="004D5CC3"/>
    <w:rPr>
      <w:rFonts w:ascii="Century Gothic" w:eastAsia="Times New Roman" w:hAnsi="Century Gothic" w:cs="Times New Roman"/>
    </w:rPr>
  </w:style>
  <w:style w:type="paragraph" w:styleId="BalloonText">
    <w:name w:val="Balloon Text"/>
    <w:basedOn w:val="Normal"/>
    <w:link w:val="BalloonTextChar"/>
    <w:uiPriority w:val="99"/>
    <w:semiHidden/>
    <w:unhideWhenUsed/>
    <w:rsid w:val="004D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CC3"/>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80726"/>
    <w:rPr>
      <w:b/>
      <w:bCs/>
      <w:sz w:val="20"/>
      <w:szCs w:val="20"/>
    </w:rPr>
  </w:style>
  <w:style w:type="character" w:customStyle="1" w:styleId="CommentSubjectChar">
    <w:name w:val="Comment Subject Char"/>
    <w:basedOn w:val="CommentTextChar"/>
    <w:link w:val="CommentSubject"/>
    <w:uiPriority w:val="99"/>
    <w:semiHidden/>
    <w:rsid w:val="00C80726"/>
    <w:rPr>
      <w:rFonts w:ascii="Century Gothic" w:eastAsia="Times New Roman" w:hAnsi="Century Gothic"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9A"/>
    <w:rPr>
      <w:rFonts w:ascii="Arial" w:eastAsia="Times New Roman" w:hAnsi="Arial" w:cs="Times New Roman"/>
      <w:sz w:val="20"/>
    </w:rPr>
  </w:style>
  <w:style w:type="paragraph" w:styleId="Heading2">
    <w:name w:val="heading 2"/>
    <w:basedOn w:val="Normal"/>
    <w:next w:val="Normal"/>
    <w:link w:val="Heading2Char"/>
    <w:qFormat/>
    <w:rsid w:val="004D5CC3"/>
    <w:pPr>
      <w:keepNext/>
      <w:outlineLvl w:val="1"/>
    </w:pPr>
    <w:rPr>
      <w:rFonts w:ascii="Times New Roman" w:hAnsi="Times New Roman"/>
      <w:b/>
      <w:bCs/>
      <w:sz w:val="24"/>
      <w:u w:val="single"/>
    </w:rPr>
  </w:style>
  <w:style w:type="paragraph" w:styleId="Heading3">
    <w:name w:val="heading 3"/>
    <w:basedOn w:val="Normal"/>
    <w:next w:val="Normal"/>
    <w:link w:val="Heading3Char"/>
    <w:qFormat/>
    <w:rsid w:val="004D5CC3"/>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CC3"/>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4D5CC3"/>
    <w:rPr>
      <w:rFonts w:ascii="Times New Roman" w:eastAsia="Times New Roman" w:hAnsi="Times New Roman" w:cs="Times New Roman"/>
      <w:b/>
      <w:bCs/>
      <w:color w:val="0A0905"/>
      <w:szCs w:val="18"/>
      <w:u w:val="single"/>
    </w:rPr>
  </w:style>
  <w:style w:type="paragraph" w:styleId="NormalWeb">
    <w:name w:val="Normal (Web)"/>
    <w:basedOn w:val="Normal"/>
    <w:uiPriority w:val="99"/>
    <w:rsid w:val="004D5CC3"/>
    <w:pPr>
      <w:spacing w:before="100" w:beforeAutospacing="1" w:after="100" w:afterAutospacing="1"/>
    </w:pPr>
  </w:style>
  <w:style w:type="character" w:styleId="Strong">
    <w:name w:val="Strong"/>
    <w:basedOn w:val="DefaultParagraphFont"/>
    <w:uiPriority w:val="99"/>
    <w:qFormat/>
    <w:rsid w:val="004D5CC3"/>
    <w:rPr>
      <w:rFonts w:cs="Times New Roman"/>
      <w:b/>
    </w:rPr>
  </w:style>
  <w:style w:type="paragraph" w:customStyle="1" w:styleId="Head2">
    <w:name w:val="Head 2"/>
    <w:basedOn w:val="Normal"/>
    <w:uiPriority w:val="99"/>
    <w:rsid w:val="004D5CC3"/>
    <w:pPr>
      <w:pBdr>
        <w:bottom w:val="single" w:sz="4" w:space="1" w:color="auto"/>
      </w:pBdr>
      <w:tabs>
        <w:tab w:val="left" w:pos="446"/>
      </w:tabs>
      <w:spacing w:after="60"/>
    </w:pPr>
    <w:rPr>
      <w:b/>
      <w:kern w:val="24"/>
      <w:sz w:val="26"/>
      <w:szCs w:val="20"/>
    </w:rPr>
  </w:style>
  <w:style w:type="paragraph" w:styleId="Header">
    <w:name w:val="header"/>
    <w:basedOn w:val="Normal"/>
    <w:link w:val="HeaderChar"/>
    <w:uiPriority w:val="99"/>
    <w:rsid w:val="004D5CC3"/>
    <w:pPr>
      <w:tabs>
        <w:tab w:val="center" w:pos="4320"/>
        <w:tab w:val="right" w:pos="8640"/>
      </w:tabs>
    </w:pPr>
  </w:style>
  <w:style w:type="character" w:customStyle="1" w:styleId="HeaderChar">
    <w:name w:val="Header Char"/>
    <w:basedOn w:val="DefaultParagraphFont"/>
    <w:link w:val="Header"/>
    <w:uiPriority w:val="99"/>
    <w:rsid w:val="004D5CC3"/>
    <w:rPr>
      <w:rFonts w:ascii="Century Gothic" w:eastAsia="Times New Roman" w:hAnsi="Century Gothic" w:cs="Times New Roman"/>
      <w:sz w:val="20"/>
    </w:rPr>
  </w:style>
  <w:style w:type="paragraph" w:styleId="Footer">
    <w:name w:val="footer"/>
    <w:basedOn w:val="Normal"/>
    <w:link w:val="FooterChar"/>
    <w:uiPriority w:val="99"/>
    <w:rsid w:val="004D5CC3"/>
    <w:pPr>
      <w:tabs>
        <w:tab w:val="center" w:pos="4320"/>
        <w:tab w:val="right" w:pos="8640"/>
      </w:tabs>
    </w:pPr>
  </w:style>
  <w:style w:type="character" w:customStyle="1" w:styleId="FooterChar">
    <w:name w:val="Footer Char"/>
    <w:basedOn w:val="DefaultParagraphFont"/>
    <w:link w:val="Footer"/>
    <w:uiPriority w:val="99"/>
    <w:rsid w:val="004D5CC3"/>
    <w:rPr>
      <w:rFonts w:ascii="Century Gothic" w:eastAsia="Times New Roman" w:hAnsi="Century Gothic" w:cs="Times New Roman"/>
      <w:sz w:val="20"/>
    </w:rPr>
  </w:style>
  <w:style w:type="paragraph" w:styleId="BodyText2">
    <w:name w:val="Body Text 2"/>
    <w:basedOn w:val="Normal"/>
    <w:link w:val="BodyText2Char"/>
    <w:semiHidden/>
    <w:rsid w:val="004D5CC3"/>
    <w:pPr>
      <w:spacing w:line="480" w:lineRule="auto"/>
    </w:pPr>
    <w:rPr>
      <w:rFonts w:cs="Arial"/>
      <w:sz w:val="22"/>
      <w:szCs w:val="22"/>
    </w:rPr>
  </w:style>
  <w:style w:type="character" w:customStyle="1" w:styleId="BodyText2Char">
    <w:name w:val="Body Text 2 Char"/>
    <w:basedOn w:val="DefaultParagraphFont"/>
    <w:link w:val="BodyText2"/>
    <w:semiHidden/>
    <w:rsid w:val="004D5CC3"/>
    <w:rPr>
      <w:rFonts w:ascii="Century Gothic" w:eastAsia="Times New Roman" w:hAnsi="Century Gothic" w:cs="Arial"/>
      <w:sz w:val="22"/>
      <w:szCs w:val="22"/>
    </w:rPr>
  </w:style>
  <w:style w:type="character" w:customStyle="1" w:styleId="jrnl">
    <w:name w:val="jrnl"/>
    <w:basedOn w:val="DefaultParagraphFont"/>
    <w:rsid w:val="004D5CC3"/>
  </w:style>
  <w:style w:type="character" w:styleId="PageNumber">
    <w:name w:val="page number"/>
    <w:basedOn w:val="DefaultParagraphFont"/>
    <w:uiPriority w:val="99"/>
    <w:semiHidden/>
    <w:rsid w:val="004D5CC3"/>
    <w:rPr>
      <w:rFonts w:cs="Times New Roman"/>
    </w:rPr>
  </w:style>
  <w:style w:type="paragraph" w:styleId="ListParagraph">
    <w:name w:val="List Paragraph"/>
    <w:basedOn w:val="Normal"/>
    <w:uiPriority w:val="34"/>
    <w:qFormat/>
    <w:rsid w:val="004D5CC3"/>
    <w:pPr>
      <w:ind w:left="720"/>
      <w:contextualSpacing/>
    </w:pPr>
    <w:rPr>
      <w:rFonts w:ascii="Times New Roman" w:hAnsi="Times New Roman"/>
      <w:sz w:val="24"/>
    </w:rPr>
  </w:style>
  <w:style w:type="paragraph" w:styleId="PlainText">
    <w:name w:val="Plain Text"/>
    <w:basedOn w:val="Normal"/>
    <w:link w:val="PlainTextChar"/>
    <w:uiPriority w:val="99"/>
    <w:unhideWhenUsed/>
    <w:rsid w:val="004D5CC3"/>
    <w:rPr>
      <w:rFonts w:ascii="Consolas" w:hAnsi="Consolas"/>
      <w:sz w:val="21"/>
      <w:szCs w:val="21"/>
    </w:rPr>
  </w:style>
  <w:style w:type="character" w:customStyle="1" w:styleId="PlainTextChar">
    <w:name w:val="Plain Text Char"/>
    <w:basedOn w:val="DefaultParagraphFont"/>
    <w:link w:val="PlainText"/>
    <w:uiPriority w:val="99"/>
    <w:rsid w:val="004D5CC3"/>
    <w:rPr>
      <w:rFonts w:ascii="Consolas" w:eastAsia="Times New Roman" w:hAnsi="Consolas" w:cs="Times New Roman"/>
      <w:sz w:val="21"/>
      <w:szCs w:val="21"/>
    </w:rPr>
  </w:style>
  <w:style w:type="table" w:styleId="TableGrid">
    <w:name w:val="Table Grid"/>
    <w:basedOn w:val="TableNormal"/>
    <w:uiPriority w:val="59"/>
    <w:rsid w:val="004D5CC3"/>
    <w:rPr>
      <w:rFonts w:ascii="Times New Roman" w:eastAsiaTheme="minorHAnsi"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D5CC3"/>
    <w:rPr>
      <w:sz w:val="18"/>
      <w:szCs w:val="18"/>
    </w:rPr>
  </w:style>
  <w:style w:type="paragraph" w:styleId="CommentText">
    <w:name w:val="annotation text"/>
    <w:basedOn w:val="Normal"/>
    <w:link w:val="CommentTextChar"/>
    <w:uiPriority w:val="99"/>
    <w:rsid w:val="004D5CC3"/>
    <w:rPr>
      <w:sz w:val="24"/>
    </w:rPr>
  </w:style>
  <w:style w:type="character" w:customStyle="1" w:styleId="CommentTextChar">
    <w:name w:val="Comment Text Char"/>
    <w:basedOn w:val="DefaultParagraphFont"/>
    <w:link w:val="CommentText"/>
    <w:uiPriority w:val="99"/>
    <w:rsid w:val="004D5CC3"/>
    <w:rPr>
      <w:rFonts w:ascii="Century Gothic" w:eastAsia="Times New Roman" w:hAnsi="Century Gothic" w:cs="Times New Roman"/>
    </w:rPr>
  </w:style>
  <w:style w:type="paragraph" w:styleId="BalloonText">
    <w:name w:val="Balloon Text"/>
    <w:basedOn w:val="Normal"/>
    <w:link w:val="BalloonTextChar"/>
    <w:uiPriority w:val="99"/>
    <w:semiHidden/>
    <w:unhideWhenUsed/>
    <w:rsid w:val="004D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CC3"/>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80726"/>
    <w:rPr>
      <w:b/>
      <w:bCs/>
      <w:sz w:val="20"/>
      <w:szCs w:val="20"/>
    </w:rPr>
  </w:style>
  <w:style w:type="character" w:customStyle="1" w:styleId="CommentSubjectChar">
    <w:name w:val="Comment Subject Char"/>
    <w:basedOn w:val="CommentTextChar"/>
    <w:link w:val="CommentSubject"/>
    <w:uiPriority w:val="99"/>
    <w:semiHidden/>
    <w:rsid w:val="00C80726"/>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6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Washu</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 Biomarker Template</dc:title>
  <dc:creator>Eric Duncavage</dc:creator>
  <cp:lastModifiedBy>Doug Murphy (s)</cp:lastModifiedBy>
  <cp:revision>7</cp:revision>
  <cp:lastPrinted>2014-12-01T19:24:00Z</cp:lastPrinted>
  <dcterms:created xsi:type="dcterms:W3CDTF">2015-06-22T19:07:00Z</dcterms:created>
  <dcterms:modified xsi:type="dcterms:W3CDTF">2017-06-21T19:25:00Z</dcterms:modified>
</cp:coreProperties>
</file>