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AF2A8" w14:textId="100D9241" w:rsidR="00E344FF" w:rsidRDefault="00E344FF" w:rsidP="00CE7DD4">
      <w:pPr>
        <w:tabs>
          <w:tab w:val="left" w:pos="180"/>
          <w:tab w:val="left" w:pos="360"/>
        </w:tabs>
        <w:rPr>
          <w:rFonts w:cs="Arial"/>
          <w:b/>
          <w:kern w:val="18"/>
          <w:sz w:val="32"/>
        </w:rPr>
      </w:pPr>
      <w:r w:rsidRPr="00BD08F2">
        <w:rPr>
          <w:rFonts w:cs="Arial"/>
          <w:b/>
          <w:kern w:val="18"/>
          <w:sz w:val="32"/>
        </w:rPr>
        <w:t>Protocol for the Examina</w:t>
      </w:r>
      <w:r w:rsidR="009B4DEB">
        <w:rPr>
          <w:rFonts w:cs="Arial"/>
          <w:b/>
          <w:kern w:val="18"/>
          <w:sz w:val="32"/>
        </w:rPr>
        <w:t xml:space="preserve">tion of </w:t>
      </w:r>
      <w:r w:rsidR="002234F9">
        <w:rPr>
          <w:rFonts w:cs="Arial"/>
          <w:b/>
          <w:kern w:val="18"/>
          <w:sz w:val="32"/>
        </w:rPr>
        <w:t>TURP</w:t>
      </w:r>
      <w:r w:rsidR="00291D90">
        <w:rPr>
          <w:rFonts w:cs="Arial"/>
          <w:b/>
          <w:kern w:val="18"/>
          <w:sz w:val="32"/>
        </w:rPr>
        <w:t xml:space="preserve"> </w:t>
      </w:r>
      <w:r w:rsidR="009B4DEB">
        <w:rPr>
          <w:rFonts w:cs="Arial"/>
          <w:b/>
          <w:kern w:val="18"/>
          <w:sz w:val="32"/>
        </w:rPr>
        <w:t xml:space="preserve">Specimens </w:t>
      </w:r>
      <w:proofErr w:type="gramStart"/>
      <w:r w:rsidR="009B4DEB">
        <w:rPr>
          <w:rFonts w:cs="Arial"/>
          <w:b/>
          <w:kern w:val="18"/>
          <w:sz w:val="32"/>
        </w:rPr>
        <w:t>F</w:t>
      </w:r>
      <w:r w:rsidR="00CE43C9">
        <w:rPr>
          <w:rFonts w:cs="Arial"/>
          <w:b/>
          <w:kern w:val="18"/>
          <w:sz w:val="32"/>
        </w:rPr>
        <w:t>rom</w:t>
      </w:r>
      <w:proofErr w:type="gramEnd"/>
      <w:r w:rsidR="00CE43C9">
        <w:rPr>
          <w:rFonts w:cs="Arial"/>
          <w:b/>
          <w:kern w:val="18"/>
          <w:sz w:val="32"/>
        </w:rPr>
        <w:t xml:space="preserve"> Patients </w:t>
      </w:r>
      <w:r w:rsidR="009B4DEB">
        <w:rPr>
          <w:rFonts w:cs="Arial"/>
          <w:b/>
          <w:kern w:val="18"/>
          <w:sz w:val="32"/>
        </w:rPr>
        <w:t>W</w:t>
      </w:r>
      <w:r w:rsidRPr="00BD08F2">
        <w:rPr>
          <w:rFonts w:cs="Arial"/>
          <w:b/>
          <w:kern w:val="18"/>
          <w:sz w:val="32"/>
        </w:rPr>
        <w:t xml:space="preserve">ith </w:t>
      </w:r>
      <w:r w:rsidRPr="00625086">
        <w:rPr>
          <w:rFonts w:cs="Arial"/>
          <w:b/>
          <w:kern w:val="18"/>
          <w:sz w:val="32"/>
        </w:rPr>
        <w:t xml:space="preserve">Carcinoma of the </w:t>
      </w:r>
      <w:r>
        <w:rPr>
          <w:rFonts w:cs="Arial"/>
          <w:b/>
          <w:kern w:val="18"/>
          <w:sz w:val="32"/>
        </w:rPr>
        <w:t>Prostate Gland</w:t>
      </w:r>
    </w:p>
    <w:p w14:paraId="35FBD8F8" w14:textId="77777777" w:rsidR="00CE43C9" w:rsidRPr="00CE7DD4" w:rsidRDefault="00CE43C9" w:rsidP="00CE43C9">
      <w:pPr>
        <w:keepNext/>
        <w:tabs>
          <w:tab w:val="left" w:pos="360"/>
        </w:tabs>
        <w:rPr>
          <w:rFonts w:cs="Arial"/>
          <w:b/>
        </w:rPr>
      </w:pPr>
    </w:p>
    <w:tbl>
      <w:tblPr>
        <w:tblW w:w="10260" w:type="dxa"/>
        <w:tblLook w:val="04A0" w:firstRow="1" w:lastRow="0" w:firstColumn="1" w:lastColumn="0" w:noHBand="0" w:noVBand="1"/>
      </w:tblPr>
      <w:tblGrid>
        <w:gridCol w:w="4428"/>
        <w:gridCol w:w="5832"/>
      </w:tblGrid>
      <w:tr w:rsidR="00CE43C9" w:rsidRPr="00B74B56" w14:paraId="17FC3747" w14:textId="77777777" w:rsidTr="003415D1">
        <w:tc>
          <w:tcPr>
            <w:tcW w:w="4428" w:type="dxa"/>
            <w:shd w:val="clear" w:color="auto" w:fill="auto"/>
          </w:tcPr>
          <w:p w14:paraId="19BF75F1" w14:textId="72D2DCB5" w:rsidR="00CE43C9" w:rsidRPr="00B74B56" w:rsidRDefault="00CE43C9" w:rsidP="004919D7">
            <w:pPr>
              <w:keepNext/>
              <w:tabs>
                <w:tab w:val="left" w:pos="360"/>
              </w:tabs>
              <w:outlineLvl w:val="1"/>
              <w:rPr>
                <w:rFonts w:eastAsia="SimSun" w:cs="Arial"/>
                <w:b/>
              </w:rPr>
            </w:pPr>
            <w:r w:rsidRPr="00B74B56">
              <w:rPr>
                <w:rFonts w:eastAsia="SimSun" w:cs="Arial"/>
                <w:b/>
              </w:rPr>
              <w:t xml:space="preserve">Version: </w:t>
            </w:r>
            <w:proofErr w:type="spellStart"/>
            <w:r>
              <w:rPr>
                <w:rFonts w:cs="Arial"/>
              </w:rPr>
              <w:t>Prostate</w:t>
            </w:r>
            <w:r w:rsidR="004919D7">
              <w:rPr>
                <w:rFonts w:cs="Arial"/>
              </w:rPr>
              <w:t>TURP</w:t>
            </w:r>
            <w:proofErr w:type="spellEnd"/>
            <w:r w:rsidR="00291D90">
              <w:rPr>
                <w:rFonts w:cs="Arial"/>
              </w:rPr>
              <w:t xml:space="preserve"> 4.0</w:t>
            </w:r>
            <w:r w:rsidR="00900315">
              <w:rPr>
                <w:rFonts w:cs="Arial"/>
              </w:rPr>
              <w:t>.</w:t>
            </w:r>
            <w:r w:rsidR="00085B09">
              <w:rPr>
                <w:rFonts w:cs="Arial"/>
              </w:rPr>
              <w:t>4</w:t>
            </w:r>
            <w:r w:rsidR="00900315">
              <w:rPr>
                <w:rFonts w:cs="Arial"/>
              </w:rPr>
              <w:t>.0</w:t>
            </w:r>
          </w:p>
        </w:tc>
        <w:tc>
          <w:tcPr>
            <w:tcW w:w="5832" w:type="dxa"/>
            <w:shd w:val="clear" w:color="auto" w:fill="auto"/>
          </w:tcPr>
          <w:p w14:paraId="611C5BD7" w14:textId="5B060E21" w:rsidR="00CE43C9" w:rsidRPr="00B74B56" w:rsidRDefault="00CE43C9" w:rsidP="00291D90">
            <w:pPr>
              <w:keepNext/>
              <w:tabs>
                <w:tab w:val="left" w:pos="360"/>
              </w:tabs>
              <w:outlineLvl w:val="1"/>
              <w:rPr>
                <w:rFonts w:eastAsia="SimSun" w:cs="Arial"/>
                <w:b/>
              </w:rPr>
            </w:pPr>
            <w:r w:rsidRPr="00B74B56">
              <w:rPr>
                <w:rFonts w:eastAsia="SimSun" w:cs="Arial"/>
                <w:b/>
              </w:rPr>
              <w:t xml:space="preserve">Protocol Posting Date: </w:t>
            </w:r>
            <w:r w:rsidR="00291D90">
              <w:rPr>
                <w:rFonts w:eastAsia="SimSun" w:cs="Arial"/>
              </w:rPr>
              <w:t>February 2019</w:t>
            </w:r>
          </w:p>
        </w:tc>
      </w:tr>
      <w:tr w:rsidR="00CE43C9" w:rsidRPr="00B74B56" w14:paraId="7BA2584C" w14:textId="77777777" w:rsidTr="003415D1">
        <w:tc>
          <w:tcPr>
            <w:tcW w:w="10260" w:type="dxa"/>
            <w:gridSpan w:val="2"/>
            <w:shd w:val="clear" w:color="auto" w:fill="auto"/>
          </w:tcPr>
          <w:p w14:paraId="7AF87E1D" w14:textId="77777777" w:rsidR="00CE43C9" w:rsidRDefault="00CE43C9" w:rsidP="00CE43C9">
            <w:pPr>
              <w:keepNext/>
              <w:tabs>
                <w:tab w:val="left" w:pos="360"/>
              </w:tabs>
              <w:outlineLvl w:val="1"/>
              <w:rPr>
                <w:rFonts w:eastAsia="SimSun" w:cs="Arial"/>
              </w:rPr>
            </w:pPr>
          </w:p>
          <w:p w14:paraId="1A4946A6" w14:textId="77777777" w:rsidR="003415D1" w:rsidRPr="003279B5" w:rsidRDefault="003415D1" w:rsidP="003415D1">
            <w:pPr>
              <w:rPr>
                <w:b/>
              </w:rPr>
            </w:pPr>
            <w:r w:rsidRPr="003279B5">
              <w:rPr>
                <w:b/>
              </w:rPr>
              <w:t>Accreditation Requirements</w:t>
            </w:r>
          </w:p>
          <w:p w14:paraId="082807A1" w14:textId="77777777" w:rsidR="003415D1" w:rsidRDefault="003415D1" w:rsidP="003415D1">
            <w:r>
              <w:t xml:space="preserve">The use of this protocol is recommended for clinical care purposes but is </w:t>
            </w:r>
            <w:r w:rsidRPr="008710D6">
              <w:rPr>
                <w:u w:val="single"/>
              </w:rPr>
              <w:t xml:space="preserve">not </w:t>
            </w:r>
            <w:r>
              <w:t>required for accreditation purposes.</w:t>
            </w:r>
            <w:r>
              <w:rPr>
                <w:color w:val="000000"/>
              </w:rPr>
              <w:t xml:space="preserve"> </w:t>
            </w:r>
          </w:p>
          <w:p w14:paraId="41E14F0C" w14:textId="13CEAE11" w:rsidR="003415D1" w:rsidRPr="003415D1" w:rsidRDefault="003415D1" w:rsidP="00CE43C9">
            <w:pPr>
              <w:keepNext/>
              <w:tabs>
                <w:tab w:val="left" w:pos="360"/>
              </w:tabs>
              <w:outlineLvl w:val="1"/>
              <w:rPr>
                <w:rFonts w:eastAsia="SimSun" w:cs="Arial"/>
              </w:rPr>
            </w:pPr>
          </w:p>
        </w:tc>
      </w:tr>
    </w:tbl>
    <w:p w14:paraId="1E224CC1" w14:textId="77777777" w:rsidR="00CE43C9" w:rsidRPr="00B74B56" w:rsidRDefault="00CE43C9" w:rsidP="00CE43C9">
      <w:pPr>
        <w:rPr>
          <w:rFonts w:cs="Arial"/>
        </w:rPr>
      </w:pPr>
    </w:p>
    <w:p w14:paraId="04168125" w14:textId="77777777" w:rsidR="00900315" w:rsidRPr="00B74B56" w:rsidRDefault="00900315" w:rsidP="00900315">
      <w:pPr>
        <w:keepNext/>
        <w:tabs>
          <w:tab w:val="left" w:pos="360"/>
        </w:tabs>
        <w:outlineLvl w:val="1"/>
        <w:rPr>
          <w:rFonts w:eastAsia="Calibri" w:cs="Arial"/>
          <w:b/>
        </w:rPr>
      </w:pPr>
      <w:r>
        <w:rPr>
          <w:rFonts w:eastAsia="Calibri" w:cs="Arial"/>
          <w:b/>
          <w:color w:val="000000"/>
        </w:rPr>
        <w:t>T</w:t>
      </w:r>
      <w:r w:rsidRPr="00B74B56">
        <w:rPr>
          <w:rFonts w:eastAsia="Calibri" w:cs="Arial"/>
          <w:b/>
          <w:color w:val="000000"/>
        </w:rPr>
        <w:t xml:space="preserve">his protocol </w:t>
      </w:r>
      <w:r>
        <w:rPr>
          <w:rFonts w:eastAsia="Calibri" w:cs="Arial"/>
          <w:b/>
          <w:color w:val="000000"/>
        </w:rPr>
        <w:t>may</w:t>
      </w:r>
      <w:r w:rsidRPr="00B74B56">
        <w:rPr>
          <w:rFonts w:eastAsia="Calibri" w:cs="Arial"/>
          <w:b/>
          <w:color w:val="000000"/>
        </w:rPr>
        <w:t xml:space="preserve"> be used </w:t>
      </w:r>
      <w:r w:rsidRPr="00B74B56">
        <w:rPr>
          <w:rFonts w:eastAsia="Calibri" w:cs="Arial"/>
          <w:b/>
        </w:rPr>
        <w:t xml:space="preserve">for the following procedures </w:t>
      </w:r>
      <w:r>
        <w:rPr>
          <w:rFonts w:eastAsia="Calibri" w:cs="Arial"/>
          <w:b/>
        </w:rPr>
        <w:t>AND</w:t>
      </w:r>
      <w:r w:rsidRPr="00B74B56">
        <w:rPr>
          <w:rFonts w:eastAsia="Calibri" w:cs="Arial"/>
          <w:b/>
        </w:rPr>
        <w:t xml:space="preserve"> tumor types: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6570"/>
      </w:tblGrid>
      <w:tr w:rsidR="00900315" w:rsidRPr="00B74B56" w14:paraId="33CE5B7A" w14:textId="77777777" w:rsidTr="008C3AAC">
        <w:tc>
          <w:tcPr>
            <w:tcW w:w="2880" w:type="dxa"/>
            <w:shd w:val="clear" w:color="auto" w:fill="C0C0C0"/>
          </w:tcPr>
          <w:p w14:paraId="6E65165F" w14:textId="77777777" w:rsidR="00900315" w:rsidRPr="00B74B56" w:rsidRDefault="00900315" w:rsidP="008C3AAC">
            <w:pPr>
              <w:rPr>
                <w:rFonts w:eastAsia="SimSun" w:cs="Arial"/>
                <w:b/>
              </w:rPr>
            </w:pPr>
            <w:r w:rsidRPr="00B74B56">
              <w:rPr>
                <w:rFonts w:eastAsia="SimSun" w:cs="Arial"/>
                <w:b/>
              </w:rPr>
              <w:t>Procedure</w:t>
            </w:r>
          </w:p>
        </w:tc>
        <w:tc>
          <w:tcPr>
            <w:tcW w:w="6570" w:type="dxa"/>
            <w:shd w:val="clear" w:color="auto" w:fill="C0C0C0"/>
          </w:tcPr>
          <w:p w14:paraId="3718219D" w14:textId="77777777" w:rsidR="00900315" w:rsidRPr="00B74B56" w:rsidRDefault="00900315" w:rsidP="008C3AAC">
            <w:pPr>
              <w:rPr>
                <w:rFonts w:eastAsia="SimSun" w:cs="Arial"/>
                <w:b/>
              </w:rPr>
            </w:pPr>
            <w:r w:rsidRPr="00B74B56">
              <w:rPr>
                <w:rFonts w:eastAsia="SimSun" w:cs="Arial"/>
                <w:b/>
              </w:rPr>
              <w:t>Description</w:t>
            </w:r>
          </w:p>
        </w:tc>
      </w:tr>
      <w:tr w:rsidR="00900315" w:rsidRPr="00B74B56" w14:paraId="08A20A7E" w14:textId="77777777" w:rsidTr="008C3AAC">
        <w:tc>
          <w:tcPr>
            <w:tcW w:w="2880" w:type="dxa"/>
          </w:tcPr>
          <w:p w14:paraId="0E983030" w14:textId="24314E70" w:rsidR="00900315" w:rsidRPr="00B74B56" w:rsidRDefault="00900315" w:rsidP="008C3AAC">
            <w:pPr>
              <w:rPr>
                <w:rFonts w:cs="Arial"/>
              </w:rPr>
            </w:pPr>
            <w:r>
              <w:t>TURP</w:t>
            </w:r>
          </w:p>
        </w:tc>
        <w:tc>
          <w:tcPr>
            <w:tcW w:w="6570" w:type="dxa"/>
          </w:tcPr>
          <w:p w14:paraId="7F7D653E" w14:textId="4EEDC5FE" w:rsidR="00900315" w:rsidRPr="007E5248" w:rsidRDefault="00900315" w:rsidP="000B62C0">
            <w:pPr>
              <w:rPr>
                <w:rFonts w:eastAsia="SimSun" w:cs="Arial"/>
                <w:b/>
              </w:rPr>
            </w:pPr>
            <w:r>
              <w:t>I</w:t>
            </w:r>
            <w:r w:rsidRPr="002D3EE2">
              <w:t xml:space="preserve">ncludes specimens designated </w:t>
            </w:r>
            <w:r w:rsidR="000B62C0">
              <w:t xml:space="preserve">transurethral </w:t>
            </w:r>
            <w:r w:rsidR="0072693B">
              <w:t>resection of the prostate</w:t>
            </w:r>
            <w:r w:rsidRPr="00900315">
              <w:t xml:space="preserve"> (TURP), </w:t>
            </w:r>
            <w:r w:rsidR="000B62C0">
              <w:t>and enucleation s</w:t>
            </w:r>
            <w:r w:rsidRPr="00900315">
              <w:t>pecimen</w:t>
            </w:r>
            <w:r w:rsidR="000B62C0">
              <w:t>s</w:t>
            </w:r>
            <w:r w:rsidRPr="00900315">
              <w:t xml:space="preserve"> </w:t>
            </w:r>
            <w:r w:rsidR="000B62C0">
              <w:t>(s</w:t>
            </w:r>
            <w:r w:rsidRPr="00900315">
              <w:t xml:space="preserve">ubtotal </w:t>
            </w:r>
            <w:r w:rsidR="000B62C0">
              <w:t>p</w:t>
            </w:r>
            <w:r w:rsidRPr="00900315">
              <w:t>rostatectomy)</w:t>
            </w:r>
          </w:p>
        </w:tc>
      </w:tr>
      <w:tr w:rsidR="00900315" w:rsidRPr="00B74B56" w14:paraId="4A082E2D" w14:textId="77777777" w:rsidTr="008C3AAC">
        <w:tc>
          <w:tcPr>
            <w:tcW w:w="2880" w:type="dxa"/>
            <w:shd w:val="clear" w:color="auto" w:fill="C0C0C0"/>
          </w:tcPr>
          <w:p w14:paraId="4B7926C4" w14:textId="77777777" w:rsidR="00900315" w:rsidRPr="00B74B56" w:rsidRDefault="00900315" w:rsidP="008C3AAC">
            <w:pPr>
              <w:rPr>
                <w:rFonts w:eastAsia="SimSun" w:cs="Arial"/>
                <w:b/>
              </w:rPr>
            </w:pPr>
            <w:r>
              <w:rPr>
                <w:rFonts w:eastAsia="SimSun" w:cs="Arial"/>
                <w:b/>
              </w:rPr>
              <w:t>Tumor T</w:t>
            </w:r>
            <w:r w:rsidRPr="00B74B56">
              <w:rPr>
                <w:rFonts w:eastAsia="SimSun" w:cs="Arial"/>
                <w:b/>
              </w:rPr>
              <w:t>ype</w:t>
            </w:r>
          </w:p>
        </w:tc>
        <w:tc>
          <w:tcPr>
            <w:tcW w:w="6570" w:type="dxa"/>
            <w:shd w:val="clear" w:color="auto" w:fill="C0C0C0"/>
          </w:tcPr>
          <w:p w14:paraId="01D10061" w14:textId="77777777" w:rsidR="00900315" w:rsidRPr="00B74B56" w:rsidRDefault="00900315" w:rsidP="008C3AAC">
            <w:pPr>
              <w:rPr>
                <w:rFonts w:eastAsia="SimSun" w:cs="Arial"/>
                <w:b/>
              </w:rPr>
            </w:pPr>
            <w:r w:rsidRPr="00B74B56">
              <w:rPr>
                <w:rFonts w:eastAsia="SimSun" w:cs="Arial"/>
                <w:b/>
              </w:rPr>
              <w:t>Description</w:t>
            </w:r>
          </w:p>
        </w:tc>
      </w:tr>
      <w:tr w:rsidR="00900315" w:rsidRPr="00B74B56" w14:paraId="5A381422" w14:textId="77777777" w:rsidTr="008C3AAC">
        <w:tc>
          <w:tcPr>
            <w:tcW w:w="2880" w:type="dxa"/>
          </w:tcPr>
          <w:p w14:paraId="36E0633F" w14:textId="0CF65079" w:rsidR="00900315" w:rsidRPr="00B74B56" w:rsidRDefault="00756F39" w:rsidP="00900315">
            <w:pPr>
              <w:rPr>
                <w:rFonts w:cs="Arial"/>
              </w:rPr>
            </w:pPr>
            <w:r>
              <w:t>C</w:t>
            </w:r>
            <w:r w:rsidR="00900315" w:rsidRPr="009546D1">
              <w:t xml:space="preserve">arcinoma </w:t>
            </w:r>
          </w:p>
        </w:tc>
        <w:tc>
          <w:tcPr>
            <w:tcW w:w="6570" w:type="dxa"/>
          </w:tcPr>
          <w:p w14:paraId="594C2BC5" w14:textId="61B34D01" w:rsidR="00900315" w:rsidRPr="00B74B56" w:rsidRDefault="00900315" w:rsidP="001E5722">
            <w:pPr>
              <w:rPr>
                <w:rFonts w:eastAsia="SimSun" w:cs="Arial"/>
              </w:rPr>
            </w:pPr>
            <w:r>
              <w:rPr>
                <w:rFonts w:eastAsia="SimSun" w:cs="Arial"/>
              </w:rPr>
              <w:t xml:space="preserve">Includes </w:t>
            </w:r>
            <w:r w:rsidR="005C0819">
              <w:rPr>
                <w:rFonts w:eastAsia="SimSun" w:cs="Arial"/>
              </w:rPr>
              <w:t>all</w:t>
            </w:r>
            <w:r w:rsidRPr="00900315">
              <w:rPr>
                <w:rFonts w:eastAsia="SimSun" w:cs="Arial"/>
              </w:rPr>
              <w:t xml:space="preserve"> adenocarcinoma</w:t>
            </w:r>
            <w:r w:rsidR="005C0819">
              <w:rPr>
                <w:rFonts w:eastAsia="SimSun" w:cs="Arial"/>
              </w:rPr>
              <w:t>s and histologic variants</w:t>
            </w:r>
            <w:r>
              <w:rPr>
                <w:rFonts w:eastAsia="SimSun" w:cs="Arial"/>
              </w:rPr>
              <w:t xml:space="preserve">, </w:t>
            </w:r>
            <w:r w:rsidRPr="00900315">
              <w:rPr>
                <w:rFonts w:eastAsia="SimSun" w:cs="Arial"/>
              </w:rPr>
              <w:t>neuroendocrine carcinoma</w:t>
            </w:r>
            <w:r w:rsidR="00F233ED">
              <w:rPr>
                <w:rFonts w:eastAsia="SimSun" w:cs="Arial"/>
              </w:rPr>
              <w:t>s</w:t>
            </w:r>
            <w:r>
              <w:rPr>
                <w:rFonts w:eastAsia="SimSun" w:cs="Arial"/>
              </w:rPr>
              <w:t>, and others</w:t>
            </w:r>
            <w:r w:rsidR="007D561C">
              <w:rPr>
                <w:rFonts w:eastAsia="SimSun" w:cs="Arial"/>
              </w:rPr>
              <w:t xml:space="preserve">  </w:t>
            </w:r>
          </w:p>
        </w:tc>
      </w:tr>
    </w:tbl>
    <w:p w14:paraId="51A1F818" w14:textId="77777777" w:rsidR="00CE43C9" w:rsidRDefault="00CE43C9" w:rsidP="00CE43C9">
      <w:pPr>
        <w:rPr>
          <w:rFonts w:eastAsia="Calibri" w:cs="Arial"/>
        </w:rPr>
      </w:pPr>
    </w:p>
    <w:p w14:paraId="165F7AE0" w14:textId="77777777" w:rsidR="00ED3D79" w:rsidRPr="00B74B56" w:rsidRDefault="00ED3D79" w:rsidP="00ED3D79">
      <w:pPr>
        <w:rPr>
          <w:rFonts w:eastAsia="Calibri" w:cs="Arial"/>
          <w:b/>
          <w:kern w:val="18"/>
        </w:rPr>
      </w:pPr>
      <w:r>
        <w:rPr>
          <w:rFonts w:eastAsia="Calibri" w:cs="Arial"/>
          <w:b/>
          <w:kern w:val="18"/>
        </w:rPr>
        <w:t>The following</w:t>
      </w:r>
      <w:r w:rsidRPr="00B74B56">
        <w:rPr>
          <w:rFonts w:eastAsia="Calibri" w:cs="Arial"/>
          <w:b/>
          <w:kern w:val="18"/>
        </w:rPr>
        <w:t xml:space="preserve"> should </w:t>
      </w:r>
      <w:r>
        <w:rPr>
          <w:rFonts w:eastAsia="Calibri" w:cs="Arial"/>
          <w:b/>
          <w:kern w:val="18"/>
        </w:rPr>
        <w:t xml:space="preserve">NOT </w:t>
      </w:r>
      <w:r w:rsidRPr="00B74B56">
        <w:rPr>
          <w:rFonts w:eastAsia="Calibri" w:cs="Arial"/>
          <w:b/>
          <w:kern w:val="18"/>
        </w:rPr>
        <w:t xml:space="preserve">be reported using </w:t>
      </w:r>
      <w:r>
        <w:rPr>
          <w:rFonts w:eastAsia="Calibri" w:cs="Arial"/>
          <w:b/>
          <w:kern w:val="18"/>
        </w:rPr>
        <w:t>this</w:t>
      </w:r>
      <w:r w:rsidRPr="00B74B56">
        <w:rPr>
          <w:rFonts w:eastAsia="Calibri" w:cs="Arial"/>
          <w:b/>
          <w:kern w:val="18"/>
        </w:rPr>
        <w:t xml:space="preserve"> protocol:</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ED3D79" w:rsidRPr="00B74B56" w14:paraId="6DA6F4A8" w14:textId="77777777" w:rsidTr="008C3AAC">
        <w:tc>
          <w:tcPr>
            <w:tcW w:w="9450" w:type="dxa"/>
            <w:shd w:val="clear" w:color="auto" w:fill="C0C0C0"/>
          </w:tcPr>
          <w:p w14:paraId="67F99A72" w14:textId="77777777" w:rsidR="00ED3D79" w:rsidRPr="00B74B56" w:rsidRDefault="00ED3D79" w:rsidP="008C3AAC">
            <w:pPr>
              <w:tabs>
                <w:tab w:val="left" w:pos="1800"/>
              </w:tabs>
              <w:rPr>
                <w:rFonts w:eastAsia="SimSun" w:cs="Arial"/>
                <w:b/>
              </w:rPr>
            </w:pPr>
            <w:r w:rsidRPr="00B74B56">
              <w:rPr>
                <w:rFonts w:eastAsia="SimSun" w:cs="Arial"/>
                <w:b/>
              </w:rPr>
              <w:t>Procedure</w:t>
            </w:r>
            <w:r>
              <w:rPr>
                <w:rFonts w:eastAsia="SimSun" w:cs="Arial"/>
                <w:b/>
              </w:rPr>
              <w:tab/>
            </w:r>
          </w:p>
        </w:tc>
      </w:tr>
      <w:tr w:rsidR="00ED3D79" w:rsidRPr="00B74B56" w14:paraId="07E487AB" w14:textId="77777777" w:rsidTr="008C3AAC">
        <w:trPr>
          <w:trHeight w:val="152"/>
        </w:trPr>
        <w:tc>
          <w:tcPr>
            <w:tcW w:w="9450" w:type="dxa"/>
          </w:tcPr>
          <w:p w14:paraId="3904CACA" w14:textId="0B9AE13C" w:rsidR="00ED3D79" w:rsidRDefault="00ED3D79" w:rsidP="00ED3D79">
            <w:r>
              <w:t>Biopsy (consider Prostate Biopsy protocol)</w:t>
            </w:r>
          </w:p>
        </w:tc>
      </w:tr>
      <w:tr w:rsidR="00ED3D79" w:rsidRPr="00B74B56" w14:paraId="4DD3AA39" w14:textId="77777777" w:rsidTr="008C3AAC">
        <w:trPr>
          <w:trHeight w:val="152"/>
        </w:trPr>
        <w:tc>
          <w:tcPr>
            <w:tcW w:w="9450" w:type="dxa"/>
          </w:tcPr>
          <w:p w14:paraId="65356E41" w14:textId="77777777" w:rsidR="00ED3D79" w:rsidRPr="00B74B56" w:rsidRDefault="00ED3D79" w:rsidP="008C3AAC">
            <w:pPr>
              <w:rPr>
                <w:rFonts w:eastAsia="SimSun" w:cs="Arial"/>
                <w:color w:val="000000"/>
              </w:rPr>
            </w:pPr>
            <w:r>
              <w:t>Radical Prostatectomy (consider Prostate Radical Prostatectomy protocol)</w:t>
            </w:r>
          </w:p>
        </w:tc>
      </w:tr>
      <w:tr w:rsidR="005C0C1D" w:rsidRPr="00B74B56" w14:paraId="174327C6" w14:textId="77777777" w:rsidTr="00610461">
        <w:tc>
          <w:tcPr>
            <w:tcW w:w="9450" w:type="dxa"/>
            <w:shd w:val="clear" w:color="auto" w:fill="C0C0C0"/>
          </w:tcPr>
          <w:p w14:paraId="17CC64C9" w14:textId="77777777" w:rsidR="005C0C1D" w:rsidRPr="00B74B56" w:rsidRDefault="00AF5A29" w:rsidP="00CE43C9">
            <w:pPr>
              <w:rPr>
                <w:rFonts w:eastAsia="SimSun" w:cs="Arial"/>
                <w:b/>
              </w:rPr>
            </w:pPr>
            <w:r>
              <w:rPr>
                <w:rFonts w:eastAsia="SimSun" w:cs="Arial"/>
                <w:b/>
              </w:rPr>
              <w:t>Tumor T</w:t>
            </w:r>
            <w:r w:rsidR="005C0C1D" w:rsidRPr="00B74B56">
              <w:rPr>
                <w:rFonts w:eastAsia="SimSun" w:cs="Arial"/>
                <w:b/>
              </w:rPr>
              <w:t>ype</w:t>
            </w:r>
          </w:p>
        </w:tc>
      </w:tr>
      <w:tr w:rsidR="005C0C1D" w:rsidRPr="00B74B56" w14:paraId="336791BB" w14:textId="77777777" w:rsidTr="00610461">
        <w:tc>
          <w:tcPr>
            <w:tcW w:w="9450" w:type="dxa"/>
          </w:tcPr>
          <w:p w14:paraId="0659859D" w14:textId="6336C70F" w:rsidR="005C0C1D" w:rsidRPr="004A6CC7" w:rsidRDefault="005C0C1D" w:rsidP="00CE43C9">
            <w:r w:rsidRPr="00684D42">
              <w:t>Urothelial tumor</w:t>
            </w:r>
            <w:r>
              <w:t>, including variants (consider the Urethra (prostatic urethra) pro</w:t>
            </w:r>
            <w:r w:rsidR="00591EFF">
              <w:t>to</w:t>
            </w:r>
            <w:r>
              <w:t>col</w:t>
            </w:r>
            <w:r w:rsidR="008E6935">
              <w:t>)</w:t>
            </w:r>
          </w:p>
        </w:tc>
      </w:tr>
      <w:tr w:rsidR="005C0C1D" w:rsidRPr="00B74B56" w14:paraId="0AB222A8" w14:textId="77777777" w:rsidTr="00610461">
        <w:tc>
          <w:tcPr>
            <w:tcW w:w="9450" w:type="dxa"/>
          </w:tcPr>
          <w:p w14:paraId="274E8788" w14:textId="77777777" w:rsidR="005C0C1D" w:rsidRPr="00B74B56" w:rsidRDefault="005C0C1D" w:rsidP="00CE43C9">
            <w:pPr>
              <w:rPr>
                <w:rFonts w:eastAsia="SimSun" w:cs="Arial"/>
              </w:rPr>
            </w:pPr>
            <w:r w:rsidRPr="00F4523F">
              <w:t>Lymphoma (consider the Hodgkin or non-Hodgkin Lymphoma protocols)</w:t>
            </w:r>
          </w:p>
        </w:tc>
      </w:tr>
      <w:tr w:rsidR="005C0C1D" w:rsidRPr="00B74B56" w14:paraId="6104BD46" w14:textId="77777777" w:rsidTr="00610461">
        <w:tc>
          <w:tcPr>
            <w:tcW w:w="9450" w:type="dxa"/>
          </w:tcPr>
          <w:p w14:paraId="6EE84DFC" w14:textId="77777777" w:rsidR="005C0C1D" w:rsidRPr="00B74B56" w:rsidRDefault="005C0C1D" w:rsidP="00CE43C9">
            <w:pPr>
              <w:rPr>
                <w:rFonts w:eastAsia="SimSun" w:cs="Arial"/>
              </w:rPr>
            </w:pPr>
            <w:r w:rsidRPr="00F4523F">
              <w:t>Sarcoma (consider the Soft Tissue protocol)</w:t>
            </w:r>
          </w:p>
        </w:tc>
      </w:tr>
    </w:tbl>
    <w:p w14:paraId="0DDE0285" w14:textId="77777777" w:rsidR="00CE43C9" w:rsidRPr="00B74B56" w:rsidRDefault="00CE43C9" w:rsidP="00CE43C9">
      <w:pPr>
        <w:rPr>
          <w:rFonts w:cs="Arial"/>
        </w:rPr>
      </w:pPr>
    </w:p>
    <w:p w14:paraId="191364DC" w14:textId="77777777" w:rsidR="00CE43C9" w:rsidRPr="00BD08F2" w:rsidRDefault="00CE43C9" w:rsidP="00CE43C9">
      <w:pPr>
        <w:tabs>
          <w:tab w:val="center" w:pos="5040"/>
        </w:tabs>
        <w:rPr>
          <w:rFonts w:cs="Arial"/>
          <w:b/>
          <w:kern w:val="18"/>
        </w:rPr>
      </w:pPr>
      <w:r w:rsidRPr="00BD08F2">
        <w:rPr>
          <w:rFonts w:cs="Arial"/>
          <w:b/>
          <w:kern w:val="18"/>
        </w:rPr>
        <w:t>Authors</w:t>
      </w:r>
    </w:p>
    <w:p w14:paraId="18111CC6" w14:textId="1ED084EA" w:rsidR="00CE43C9" w:rsidRPr="000D3CCF" w:rsidRDefault="00D051E7" w:rsidP="00CE43C9">
      <w:pPr>
        <w:tabs>
          <w:tab w:val="center" w:pos="5040"/>
        </w:tabs>
        <w:rPr>
          <w:rFonts w:cs="Arial"/>
          <w:kern w:val="18"/>
        </w:rPr>
      </w:pPr>
      <w:r>
        <w:rPr>
          <w:kern w:val="18"/>
        </w:rPr>
        <w:t xml:space="preserve">Gladell </w:t>
      </w:r>
      <w:r w:rsidR="00304985" w:rsidRPr="00F31942">
        <w:rPr>
          <w:kern w:val="18"/>
        </w:rPr>
        <w:t>P.</w:t>
      </w:r>
      <w:r w:rsidR="00304985">
        <w:rPr>
          <w:kern w:val="18"/>
        </w:rPr>
        <w:t xml:space="preserve"> </w:t>
      </w:r>
      <w:r>
        <w:rPr>
          <w:kern w:val="18"/>
        </w:rPr>
        <w:t xml:space="preserve">Paner, MD*; </w:t>
      </w:r>
      <w:r w:rsidR="00CE43C9" w:rsidRPr="000D3CCF">
        <w:rPr>
          <w:kern w:val="18"/>
        </w:rPr>
        <w:t>John R. Srigley</w:t>
      </w:r>
      <w:r w:rsidR="002E6798">
        <w:rPr>
          <w:kern w:val="18"/>
        </w:rPr>
        <w:t>,</w:t>
      </w:r>
      <w:r w:rsidR="00CE43C9" w:rsidRPr="000D3CCF">
        <w:rPr>
          <w:kern w:val="18"/>
        </w:rPr>
        <w:t xml:space="preserve"> MD*</w:t>
      </w:r>
      <w:r w:rsidR="002E6798">
        <w:rPr>
          <w:kern w:val="18"/>
        </w:rPr>
        <w:t>;</w:t>
      </w:r>
      <w:r w:rsidR="00CE43C9" w:rsidRPr="000D3CCF">
        <w:rPr>
          <w:kern w:val="18"/>
        </w:rPr>
        <w:t xml:space="preserve"> Ming Zhou</w:t>
      </w:r>
      <w:r w:rsidR="002E6798">
        <w:rPr>
          <w:kern w:val="18"/>
        </w:rPr>
        <w:t>,</w:t>
      </w:r>
      <w:r w:rsidR="00CE43C9" w:rsidRPr="000D3CCF">
        <w:rPr>
          <w:kern w:val="18"/>
        </w:rPr>
        <w:t xml:space="preserve"> MD</w:t>
      </w:r>
      <w:r w:rsidR="002E6798">
        <w:rPr>
          <w:kern w:val="18"/>
        </w:rPr>
        <w:t>,</w:t>
      </w:r>
      <w:r w:rsidR="00CE43C9" w:rsidRPr="000D3CCF">
        <w:rPr>
          <w:kern w:val="18"/>
        </w:rPr>
        <w:t xml:space="preserve"> PhD*</w:t>
      </w:r>
      <w:r w:rsidR="002E6798">
        <w:rPr>
          <w:kern w:val="18"/>
        </w:rPr>
        <w:t>;</w:t>
      </w:r>
      <w:r w:rsidR="00CE43C9" w:rsidRPr="000D3CCF">
        <w:rPr>
          <w:kern w:val="18"/>
        </w:rPr>
        <w:t xml:space="preserve"> </w:t>
      </w:r>
      <w:r w:rsidR="00235665">
        <w:rPr>
          <w:kern w:val="18"/>
        </w:rPr>
        <w:t>Robert Allan</w:t>
      </w:r>
      <w:r w:rsidR="002E6798">
        <w:rPr>
          <w:kern w:val="18"/>
        </w:rPr>
        <w:t>,</w:t>
      </w:r>
      <w:r w:rsidR="00235665">
        <w:rPr>
          <w:kern w:val="18"/>
        </w:rPr>
        <w:t xml:space="preserve"> MD</w:t>
      </w:r>
      <w:r w:rsidR="002E6798">
        <w:rPr>
          <w:kern w:val="18"/>
        </w:rPr>
        <w:t>;</w:t>
      </w:r>
      <w:r w:rsidR="00235665">
        <w:rPr>
          <w:kern w:val="18"/>
        </w:rPr>
        <w:t xml:space="preserve"> </w:t>
      </w:r>
      <w:r w:rsidR="00CE43C9" w:rsidRPr="000D3CCF">
        <w:rPr>
          <w:kern w:val="18"/>
        </w:rPr>
        <w:t>Mahul B. Amin</w:t>
      </w:r>
      <w:r w:rsidR="002E6798">
        <w:rPr>
          <w:kern w:val="18"/>
        </w:rPr>
        <w:t>,</w:t>
      </w:r>
      <w:r w:rsidR="00CE43C9" w:rsidRPr="000D3CCF">
        <w:rPr>
          <w:kern w:val="18"/>
        </w:rPr>
        <w:t xml:space="preserve"> MD</w:t>
      </w:r>
      <w:r w:rsidR="002E6798">
        <w:rPr>
          <w:kern w:val="18"/>
        </w:rPr>
        <w:t>;</w:t>
      </w:r>
      <w:r w:rsidR="00CE43C9" w:rsidRPr="000D3CCF">
        <w:rPr>
          <w:kern w:val="18"/>
        </w:rPr>
        <w:t xml:space="preserve"> Sam S. Chang</w:t>
      </w:r>
      <w:r w:rsidR="002E6798">
        <w:rPr>
          <w:kern w:val="18"/>
        </w:rPr>
        <w:t>,</w:t>
      </w:r>
      <w:r w:rsidR="00CE43C9" w:rsidRPr="000D3CCF">
        <w:rPr>
          <w:kern w:val="18"/>
        </w:rPr>
        <w:t xml:space="preserve"> MD</w:t>
      </w:r>
      <w:r w:rsidR="002E6798">
        <w:rPr>
          <w:kern w:val="18"/>
        </w:rPr>
        <w:t>;</w:t>
      </w:r>
      <w:r w:rsidR="00CE43C9" w:rsidRPr="000D3CCF">
        <w:rPr>
          <w:kern w:val="18"/>
        </w:rPr>
        <w:t xml:space="preserve"> Brett Delahunt</w:t>
      </w:r>
      <w:r w:rsidR="002E6798">
        <w:rPr>
          <w:kern w:val="18"/>
        </w:rPr>
        <w:t>,</w:t>
      </w:r>
      <w:r w:rsidR="00CE43C9" w:rsidRPr="000D3CCF">
        <w:rPr>
          <w:kern w:val="18"/>
        </w:rPr>
        <w:t xml:space="preserve"> MD</w:t>
      </w:r>
      <w:r w:rsidR="002E6798">
        <w:rPr>
          <w:kern w:val="18"/>
        </w:rPr>
        <w:t>;</w:t>
      </w:r>
      <w:r w:rsidR="00CE43C9" w:rsidRPr="000D3CCF">
        <w:rPr>
          <w:kern w:val="18"/>
        </w:rPr>
        <w:t xml:space="preserve"> Lars Egevad</w:t>
      </w:r>
      <w:r w:rsidR="002E6798">
        <w:rPr>
          <w:kern w:val="18"/>
        </w:rPr>
        <w:t>,</w:t>
      </w:r>
      <w:r w:rsidR="00CE43C9" w:rsidRPr="000D3CCF">
        <w:rPr>
          <w:kern w:val="18"/>
        </w:rPr>
        <w:t xml:space="preserve"> MD</w:t>
      </w:r>
      <w:r w:rsidR="002E6798">
        <w:rPr>
          <w:kern w:val="18"/>
        </w:rPr>
        <w:t>;</w:t>
      </w:r>
      <w:r w:rsidR="00CE43C9" w:rsidRPr="000D3CCF">
        <w:rPr>
          <w:kern w:val="18"/>
        </w:rPr>
        <w:t xml:space="preserve"> Jonathan I. Epstein</w:t>
      </w:r>
      <w:r w:rsidR="002E6798">
        <w:rPr>
          <w:kern w:val="18"/>
        </w:rPr>
        <w:t>,</w:t>
      </w:r>
      <w:r w:rsidR="00CE43C9" w:rsidRPr="000D3CCF">
        <w:rPr>
          <w:kern w:val="18"/>
        </w:rPr>
        <w:t xml:space="preserve"> MD</w:t>
      </w:r>
      <w:r w:rsidR="002E6798">
        <w:rPr>
          <w:kern w:val="18"/>
        </w:rPr>
        <w:t>;</w:t>
      </w:r>
      <w:r w:rsidR="00CE43C9" w:rsidRPr="000D3CCF">
        <w:rPr>
          <w:kern w:val="18"/>
        </w:rPr>
        <w:t xml:space="preserve"> </w:t>
      </w:r>
      <w:r w:rsidR="006D64C9" w:rsidRPr="006E413D">
        <w:rPr>
          <w:kern w:val="18"/>
        </w:rPr>
        <w:t>Andrew J. Evans, MD</w:t>
      </w:r>
      <w:r w:rsidR="006D64C9" w:rsidRPr="00FC3B89">
        <w:rPr>
          <w:kern w:val="18"/>
        </w:rPr>
        <w:t>;</w:t>
      </w:r>
      <w:r w:rsidR="006D64C9">
        <w:rPr>
          <w:kern w:val="18"/>
        </w:rPr>
        <w:t xml:space="preserve"> </w:t>
      </w:r>
      <w:r w:rsidR="00CE43C9" w:rsidRPr="000D3CCF">
        <w:rPr>
          <w:kern w:val="18"/>
        </w:rPr>
        <w:t>David J. Grignon</w:t>
      </w:r>
      <w:r w:rsidR="002E6798">
        <w:rPr>
          <w:kern w:val="18"/>
        </w:rPr>
        <w:t>,</w:t>
      </w:r>
      <w:r w:rsidR="00CE43C9" w:rsidRPr="000D3CCF">
        <w:rPr>
          <w:kern w:val="18"/>
        </w:rPr>
        <w:t xml:space="preserve"> MD</w:t>
      </w:r>
      <w:r w:rsidR="002E6798">
        <w:rPr>
          <w:kern w:val="18"/>
        </w:rPr>
        <w:t>;</w:t>
      </w:r>
      <w:r w:rsidR="00CE43C9" w:rsidRPr="000D3CCF">
        <w:rPr>
          <w:kern w:val="18"/>
        </w:rPr>
        <w:t xml:space="preserve"> Peter A. Humphrey</w:t>
      </w:r>
      <w:r w:rsidR="002E6798">
        <w:rPr>
          <w:kern w:val="18"/>
        </w:rPr>
        <w:t>,</w:t>
      </w:r>
      <w:r w:rsidR="00CE43C9" w:rsidRPr="000D3CCF">
        <w:rPr>
          <w:kern w:val="18"/>
        </w:rPr>
        <w:t xml:space="preserve"> MD</w:t>
      </w:r>
      <w:r w:rsidR="002E6798">
        <w:rPr>
          <w:kern w:val="18"/>
        </w:rPr>
        <w:t>,</w:t>
      </w:r>
      <w:r w:rsidR="00CE43C9" w:rsidRPr="000D3CCF">
        <w:rPr>
          <w:kern w:val="18"/>
        </w:rPr>
        <w:t xml:space="preserve"> PhD</w:t>
      </w:r>
      <w:r w:rsidR="002E6798">
        <w:rPr>
          <w:kern w:val="18"/>
        </w:rPr>
        <w:t>;</w:t>
      </w:r>
      <w:r w:rsidR="00CE43C9" w:rsidRPr="000D3CCF">
        <w:rPr>
          <w:kern w:val="18"/>
        </w:rPr>
        <w:t xml:space="preserve"> James M. McKiernan</w:t>
      </w:r>
      <w:r w:rsidR="002E6798">
        <w:rPr>
          <w:kern w:val="18"/>
        </w:rPr>
        <w:t>,</w:t>
      </w:r>
      <w:r w:rsidR="00CE43C9" w:rsidRPr="000D3CCF">
        <w:rPr>
          <w:kern w:val="18"/>
        </w:rPr>
        <w:t xml:space="preserve"> MD</w:t>
      </w:r>
      <w:r w:rsidR="002E6798">
        <w:rPr>
          <w:kern w:val="18"/>
        </w:rPr>
        <w:t>;</w:t>
      </w:r>
      <w:r w:rsidR="00CE43C9" w:rsidRPr="000D3CCF">
        <w:rPr>
          <w:kern w:val="18"/>
        </w:rPr>
        <w:t xml:space="preserve"> Rodolfo Montironi</w:t>
      </w:r>
      <w:r w:rsidR="002E6798">
        <w:rPr>
          <w:kern w:val="18"/>
        </w:rPr>
        <w:t>,</w:t>
      </w:r>
      <w:r w:rsidR="00CE43C9" w:rsidRPr="000D3CCF">
        <w:rPr>
          <w:kern w:val="18"/>
        </w:rPr>
        <w:t xml:space="preserve"> MD</w:t>
      </w:r>
      <w:r w:rsidR="002E6798">
        <w:rPr>
          <w:kern w:val="18"/>
        </w:rPr>
        <w:t>;</w:t>
      </w:r>
      <w:r w:rsidR="00235665">
        <w:rPr>
          <w:kern w:val="18"/>
        </w:rPr>
        <w:t xml:space="preserve"> Jason Pettus</w:t>
      </w:r>
      <w:r w:rsidR="002E6798">
        <w:rPr>
          <w:kern w:val="18"/>
        </w:rPr>
        <w:t>,</w:t>
      </w:r>
      <w:r w:rsidR="00235665">
        <w:rPr>
          <w:kern w:val="18"/>
        </w:rPr>
        <w:t xml:space="preserve"> MD</w:t>
      </w:r>
      <w:r w:rsidR="002E6798">
        <w:rPr>
          <w:kern w:val="18"/>
        </w:rPr>
        <w:t>;</w:t>
      </w:r>
      <w:r w:rsidR="00CE43C9" w:rsidRPr="000D3CCF">
        <w:rPr>
          <w:kern w:val="18"/>
        </w:rPr>
        <w:t xml:space="preserve"> Victor E. Reuter</w:t>
      </w:r>
      <w:r w:rsidR="002E6798">
        <w:rPr>
          <w:kern w:val="18"/>
        </w:rPr>
        <w:t>,</w:t>
      </w:r>
      <w:r w:rsidR="00CE43C9" w:rsidRPr="000D3CCF">
        <w:rPr>
          <w:kern w:val="18"/>
        </w:rPr>
        <w:t xml:space="preserve"> MD</w:t>
      </w:r>
      <w:r w:rsidR="002E6798">
        <w:rPr>
          <w:kern w:val="18"/>
        </w:rPr>
        <w:t>;</w:t>
      </w:r>
      <w:r w:rsidR="00CE43C9" w:rsidRPr="000D3CCF">
        <w:rPr>
          <w:kern w:val="18"/>
        </w:rPr>
        <w:t xml:space="preserve"> Thomas M. Wheeler</w:t>
      </w:r>
      <w:r w:rsidR="002E6798">
        <w:rPr>
          <w:kern w:val="18"/>
        </w:rPr>
        <w:t>,</w:t>
      </w:r>
      <w:r w:rsidR="00CE43C9" w:rsidRPr="000D3CCF">
        <w:rPr>
          <w:kern w:val="18"/>
        </w:rPr>
        <w:t xml:space="preserve"> MD</w:t>
      </w:r>
    </w:p>
    <w:p w14:paraId="2EA7871A" w14:textId="77777777" w:rsidR="00CE43C9" w:rsidRPr="000D3CCF" w:rsidRDefault="00CE43C9" w:rsidP="00CE43C9">
      <w:pPr>
        <w:rPr>
          <w:rFonts w:cs="Arial"/>
          <w:kern w:val="18"/>
        </w:rPr>
      </w:pPr>
      <w:r w:rsidRPr="000D3CCF">
        <w:rPr>
          <w:rFonts w:cs="Arial"/>
          <w:kern w:val="18"/>
        </w:rPr>
        <w:t>With guidance from the CAP Cancer and CAP Pathology Electronic Reporting Committees.</w:t>
      </w:r>
    </w:p>
    <w:p w14:paraId="6BF6B813" w14:textId="77777777" w:rsidR="00CE43C9" w:rsidRPr="000953DF" w:rsidRDefault="00CE43C9" w:rsidP="00B619D6">
      <w:pPr>
        <w:spacing w:before="60"/>
        <w:rPr>
          <w:rFonts w:cs="Arial"/>
          <w:i/>
          <w:kern w:val="18"/>
          <w:sz w:val="18"/>
          <w:szCs w:val="18"/>
        </w:rPr>
      </w:pPr>
      <w:r w:rsidRPr="000953DF">
        <w:rPr>
          <w:rFonts w:cs="Arial"/>
          <w:i/>
          <w:kern w:val="18"/>
          <w:sz w:val="18"/>
          <w:szCs w:val="18"/>
        </w:rPr>
        <w:t xml:space="preserve">* Denotes primary author. </w:t>
      </w:r>
      <w:r w:rsidRPr="000953DF">
        <w:rPr>
          <w:rFonts w:cs="Arial"/>
          <w:i/>
          <w:kern w:val="20"/>
          <w:sz w:val="18"/>
          <w:szCs w:val="18"/>
        </w:rPr>
        <w:t>A</w:t>
      </w:r>
      <w:r w:rsidRPr="000953DF">
        <w:rPr>
          <w:rFonts w:cs="Arial"/>
          <w:i/>
          <w:kern w:val="18"/>
          <w:sz w:val="18"/>
          <w:szCs w:val="18"/>
        </w:rPr>
        <w:t>ll other contributing authors are listed alphabetically.</w:t>
      </w:r>
    </w:p>
    <w:p w14:paraId="7300A39D" w14:textId="77777777" w:rsidR="00CE43C9" w:rsidRPr="00003581" w:rsidRDefault="00CE43C9" w:rsidP="00CE43C9">
      <w:pPr>
        <w:spacing w:before="40"/>
        <w:rPr>
          <w:rFonts w:cs="Arial"/>
          <w:kern w:val="18"/>
          <w:sz w:val="16"/>
          <w:szCs w:val="16"/>
        </w:rPr>
      </w:pPr>
    </w:p>
    <w:p w14:paraId="7A91C1D5" w14:textId="77777777" w:rsidR="00CE43C9" w:rsidRPr="00B74B56" w:rsidRDefault="00CE43C9" w:rsidP="00CE43C9">
      <w:pPr>
        <w:rPr>
          <w:rFonts w:cs="Arial"/>
        </w:rPr>
      </w:pPr>
    </w:p>
    <w:tbl>
      <w:tblPr>
        <w:tblW w:w="9738" w:type="dxa"/>
        <w:tblLook w:val="00A0" w:firstRow="1" w:lastRow="0" w:firstColumn="1" w:lastColumn="0" w:noHBand="0" w:noVBand="0"/>
      </w:tblPr>
      <w:tblGrid>
        <w:gridCol w:w="9738"/>
      </w:tblGrid>
      <w:tr w:rsidR="00CE43C9" w:rsidRPr="00B74B56" w14:paraId="784F4C84" w14:textId="77777777" w:rsidTr="00CE43C9">
        <w:trPr>
          <w:trHeight w:val="180"/>
        </w:trPr>
        <w:tc>
          <w:tcPr>
            <w:tcW w:w="9738" w:type="dxa"/>
          </w:tcPr>
          <w:p w14:paraId="7FB90705" w14:textId="2274A096" w:rsidR="00CC6DA2" w:rsidRPr="00B74B56" w:rsidRDefault="00CC6DA2" w:rsidP="00291D90">
            <w:pPr>
              <w:rPr>
                <w:rFonts w:eastAsia="SimSun" w:cs="Arial"/>
                <w:sz w:val="18"/>
                <w:szCs w:val="18"/>
              </w:rPr>
            </w:pPr>
          </w:p>
        </w:tc>
      </w:tr>
    </w:tbl>
    <w:p w14:paraId="05B74A90" w14:textId="77777777" w:rsidR="00797D93" w:rsidRPr="009C0147" w:rsidRDefault="00797D93" w:rsidP="002B3750">
      <w:pPr>
        <w:pStyle w:val="Head2"/>
        <w:rPr>
          <w:sz w:val="26"/>
          <w:szCs w:val="26"/>
        </w:rPr>
      </w:pPr>
      <w:r w:rsidRPr="009C0147">
        <w:rPr>
          <w:sz w:val="26"/>
          <w:szCs w:val="26"/>
        </w:rPr>
        <w:t xml:space="preserve">CAP Prostate Protocol </w:t>
      </w:r>
      <w:r w:rsidR="00074441">
        <w:rPr>
          <w:sz w:val="26"/>
          <w:szCs w:val="26"/>
        </w:rPr>
        <w:t>Summary of Changes</w:t>
      </w:r>
    </w:p>
    <w:p w14:paraId="11831E42" w14:textId="73F44396" w:rsidR="00D61664" w:rsidRDefault="00D61664" w:rsidP="00D61664">
      <w:pPr>
        <w:rPr>
          <w:rFonts w:cs="Arial"/>
          <w:b/>
        </w:rPr>
      </w:pPr>
      <w:r>
        <w:rPr>
          <w:rFonts w:cs="Arial"/>
          <w:b/>
        </w:rPr>
        <w:t xml:space="preserve">Version </w:t>
      </w:r>
      <w:r w:rsidR="00291D90">
        <w:rPr>
          <w:rFonts w:cs="Arial"/>
          <w:b/>
        </w:rPr>
        <w:t>4.0</w:t>
      </w:r>
      <w:r w:rsidR="00900315">
        <w:rPr>
          <w:rFonts w:cs="Arial"/>
          <w:b/>
        </w:rPr>
        <w:t>.</w:t>
      </w:r>
      <w:r w:rsidR="00EA5259">
        <w:rPr>
          <w:rFonts w:cs="Arial"/>
          <w:b/>
        </w:rPr>
        <w:t>4</w:t>
      </w:r>
      <w:r w:rsidR="00900315">
        <w:rPr>
          <w:rFonts w:cs="Arial"/>
          <w:b/>
        </w:rPr>
        <w:t>.0</w:t>
      </w:r>
    </w:p>
    <w:p w14:paraId="391FFC76" w14:textId="63EA707D" w:rsidR="00F363AF" w:rsidRDefault="004919D7" w:rsidP="00D61664">
      <w:pPr>
        <w:rPr>
          <w:rFonts w:cs="Arial"/>
        </w:rPr>
      </w:pPr>
      <w:r>
        <w:rPr>
          <w:rFonts w:cs="Arial"/>
        </w:rPr>
        <w:t xml:space="preserve">Separate TURP </w:t>
      </w:r>
      <w:r w:rsidR="00706582">
        <w:rPr>
          <w:rFonts w:cs="Arial"/>
        </w:rPr>
        <w:t>case s</w:t>
      </w:r>
      <w:r>
        <w:rPr>
          <w:rFonts w:cs="Arial"/>
        </w:rPr>
        <w:t>ummary document</w:t>
      </w:r>
    </w:p>
    <w:p w14:paraId="33EA4BFE" w14:textId="76CDED75" w:rsidR="0001214D" w:rsidRPr="009C26DC" w:rsidRDefault="0001214D" w:rsidP="00D61664">
      <w:pPr>
        <w:rPr>
          <w:rFonts w:cs="Arial"/>
        </w:rPr>
      </w:pPr>
      <w:bookmarkStart w:id="0" w:name="_Hlk529609329"/>
      <w:r>
        <w:rPr>
          <w:rFonts w:cs="Arial"/>
        </w:rPr>
        <w:t>Modified Grade Group and Gleason Score reporting format</w:t>
      </w:r>
    </w:p>
    <w:bookmarkEnd w:id="0"/>
    <w:p w14:paraId="3D26B9A1" w14:textId="3499B279" w:rsidR="004044B7" w:rsidRDefault="004044B7" w:rsidP="002B3750">
      <w:pPr>
        <w:rPr>
          <w:rFonts w:cs="Arial"/>
        </w:rPr>
      </w:pPr>
    </w:p>
    <w:p w14:paraId="4FB40DA4" w14:textId="77777777" w:rsidR="00F363AF" w:rsidRDefault="00F363AF" w:rsidP="002B3750">
      <w:pPr>
        <w:rPr>
          <w:rFonts w:cs="Arial"/>
        </w:rPr>
      </w:pPr>
    </w:p>
    <w:p w14:paraId="497C1AE1" w14:textId="77777777" w:rsidR="00F363AF" w:rsidRPr="00261F53" w:rsidRDefault="00F363AF" w:rsidP="002B3750"/>
    <w:p w14:paraId="11AC3074" w14:textId="77777777" w:rsidR="00797D93" w:rsidRPr="00261F53" w:rsidRDefault="00797D93" w:rsidP="002B3750">
      <w:pPr>
        <w:sectPr w:rsidR="00797D93" w:rsidRPr="00261F53" w:rsidSect="004044B7">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pgMar w:top="1440" w:right="1080" w:bottom="936" w:left="1080" w:header="720" w:footer="936" w:gutter="0"/>
          <w:cols w:space="720"/>
          <w:titlePg/>
        </w:sectPr>
      </w:pPr>
    </w:p>
    <w:p w14:paraId="004EF2A2" w14:textId="77777777" w:rsidR="00F23436" w:rsidRPr="00D16EF9" w:rsidRDefault="00F23436" w:rsidP="002B3750">
      <w:pPr>
        <w:rPr>
          <w:b/>
        </w:rPr>
      </w:pPr>
    </w:p>
    <w:p w14:paraId="6FBEEB71" w14:textId="77777777" w:rsidR="00797D93" w:rsidRPr="00D33B5F" w:rsidRDefault="00797D93" w:rsidP="002B3750">
      <w:pPr>
        <w:pStyle w:val="Head2"/>
        <w:rPr>
          <w:sz w:val="26"/>
          <w:szCs w:val="26"/>
        </w:rPr>
      </w:pPr>
      <w:r w:rsidRPr="00D33B5F">
        <w:rPr>
          <w:sz w:val="26"/>
          <w:szCs w:val="26"/>
        </w:rPr>
        <w:t>Surgical Pathol</w:t>
      </w:r>
      <w:r w:rsidR="00A70299" w:rsidRPr="00D33B5F">
        <w:rPr>
          <w:sz w:val="26"/>
          <w:szCs w:val="26"/>
        </w:rPr>
        <w:t>ogy Cancer Case Summary</w:t>
      </w:r>
    </w:p>
    <w:p w14:paraId="0A5B4FE8" w14:textId="77777777" w:rsidR="00797D93" w:rsidRPr="00261F53" w:rsidRDefault="00797D93" w:rsidP="002B3750"/>
    <w:p w14:paraId="6C1530C0" w14:textId="7A3D985C" w:rsidR="00797D93" w:rsidRPr="00261F53" w:rsidRDefault="00797D93" w:rsidP="002B3750">
      <w:r w:rsidRPr="00261F53">
        <w:t xml:space="preserve">Protocol posting date: </w:t>
      </w:r>
      <w:r w:rsidR="00E339FE">
        <w:t>February 2019</w:t>
      </w:r>
    </w:p>
    <w:p w14:paraId="03FC1BCE" w14:textId="77777777" w:rsidR="00797D93" w:rsidRDefault="00797D93" w:rsidP="002B3750">
      <w:pPr>
        <w:rPr>
          <w:szCs w:val="22"/>
        </w:rPr>
      </w:pPr>
    </w:p>
    <w:p w14:paraId="79C37072" w14:textId="18FEC47C" w:rsidR="00797D93" w:rsidRPr="00261F53" w:rsidRDefault="00797D93">
      <w:pPr>
        <w:pStyle w:val="Heading1"/>
        <w:ind w:left="720" w:hanging="720"/>
      </w:pPr>
      <w:r w:rsidRPr="00261F53">
        <w:t>PROSTATE GLAND: Transurethral Prostatic Resection (TUR</w:t>
      </w:r>
      <w:r w:rsidR="00502BFF">
        <w:t>P</w:t>
      </w:r>
      <w:r w:rsidRPr="00261F53">
        <w:t>), Enucleation Specimen (Subtotal</w:t>
      </w:r>
      <w:r w:rsidR="00EA5259">
        <w:t xml:space="preserve"> </w:t>
      </w:r>
      <w:r w:rsidRPr="00261F53">
        <w:t>Prostatectomy)</w:t>
      </w:r>
    </w:p>
    <w:p w14:paraId="59BDB19C" w14:textId="77777777" w:rsidR="00797D93" w:rsidRDefault="00797D93" w:rsidP="002B3750"/>
    <w:p w14:paraId="5D539299" w14:textId="6C39C0CE" w:rsidR="00464222" w:rsidRDefault="00464222" w:rsidP="00464222">
      <w:pPr>
        <w:rPr>
          <w:rFonts w:cs="Arial"/>
          <w:b/>
        </w:rPr>
      </w:pPr>
      <w:r w:rsidRPr="005D1FE8">
        <w:rPr>
          <w:rFonts w:cs="Arial"/>
          <w:b/>
        </w:rPr>
        <w:t xml:space="preserve">Note: This case summary is recommended for reporting </w:t>
      </w:r>
      <w:r>
        <w:rPr>
          <w:rFonts w:cs="Arial"/>
          <w:b/>
        </w:rPr>
        <w:t>TURP</w:t>
      </w:r>
      <w:r w:rsidRPr="005D1FE8">
        <w:rPr>
          <w:rFonts w:cs="Arial"/>
          <w:b/>
        </w:rPr>
        <w:t xml:space="preserve"> specimens but is </w:t>
      </w:r>
      <w:r w:rsidR="00E719E7">
        <w:rPr>
          <w:rFonts w:cs="Arial"/>
          <w:b/>
        </w:rPr>
        <w:t>NOT REQUIRED</w:t>
      </w:r>
      <w:r w:rsidRPr="005D1FE8">
        <w:rPr>
          <w:rFonts w:cs="Arial"/>
          <w:b/>
        </w:rPr>
        <w:t xml:space="preserve"> for accreditation purposes.</w:t>
      </w:r>
      <w:r w:rsidR="00C25C44">
        <w:rPr>
          <w:rFonts w:cs="Arial"/>
          <w:b/>
        </w:rPr>
        <w:t xml:space="preserve"> Core data elements are bolded to help identify routinely reported elements.</w:t>
      </w:r>
    </w:p>
    <w:p w14:paraId="6A2BEB1F" w14:textId="77777777" w:rsidR="00464222" w:rsidRPr="005F1840" w:rsidRDefault="00464222" w:rsidP="00464222">
      <w:pPr>
        <w:rPr>
          <w:rFonts w:cs="Arial"/>
        </w:rPr>
      </w:pPr>
    </w:p>
    <w:p w14:paraId="31E7E18C" w14:textId="77777777" w:rsidR="00797D93" w:rsidRDefault="00797D93" w:rsidP="002B3750">
      <w:pPr>
        <w:pStyle w:val="Footer"/>
        <w:tabs>
          <w:tab w:val="clear" w:pos="4320"/>
          <w:tab w:val="clear" w:pos="8640"/>
        </w:tabs>
        <w:rPr>
          <w:b/>
        </w:rPr>
      </w:pPr>
      <w:r w:rsidRPr="00261F53">
        <w:rPr>
          <w:b/>
        </w:rPr>
        <w:t>Select a single response unless otherwise indicated.</w:t>
      </w:r>
    </w:p>
    <w:p w14:paraId="1F735BE3" w14:textId="77777777" w:rsidR="0038388E" w:rsidRDefault="0038388E" w:rsidP="002B3750">
      <w:pPr>
        <w:pStyle w:val="Footer"/>
        <w:tabs>
          <w:tab w:val="clear" w:pos="4320"/>
          <w:tab w:val="clear" w:pos="8640"/>
        </w:tabs>
        <w:rPr>
          <w:b/>
        </w:rPr>
      </w:pPr>
    </w:p>
    <w:p w14:paraId="3BE82842" w14:textId="3B0E048A" w:rsidR="00797D93" w:rsidRPr="00261F53" w:rsidRDefault="00797D93" w:rsidP="002B3750">
      <w:pPr>
        <w:pStyle w:val="Heading2"/>
      </w:pPr>
      <w:r w:rsidRPr="00261F53">
        <w:t>Procedure</w:t>
      </w:r>
      <w:r w:rsidR="00A26819">
        <w:t xml:space="preserve"> </w:t>
      </w:r>
      <w:r w:rsidR="00A26819" w:rsidRPr="00261F53">
        <w:t xml:space="preserve">(Note </w:t>
      </w:r>
      <w:r w:rsidR="00FB794E">
        <w:t>A</w:t>
      </w:r>
      <w:r w:rsidR="00A26819" w:rsidRPr="00261F53">
        <w:t>)</w:t>
      </w:r>
    </w:p>
    <w:p w14:paraId="545D4B6F" w14:textId="23D0FE5F" w:rsidR="00797D93" w:rsidRPr="00261F53" w:rsidRDefault="00797D93" w:rsidP="002B3750">
      <w:pPr>
        <w:rPr>
          <w:b/>
        </w:rPr>
      </w:pPr>
      <w:r w:rsidRPr="00261F53">
        <w:t xml:space="preserve">___ Transurethral </w:t>
      </w:r>
      <w:r w:rsidR="0072693B">
        <w:t>resection of the prostate</w:t>
      </w:r>
      <w:r w:rsidR="0038388E">
        <w:t xml:space="preserve"> (TURP)</w:t>
      </w:r>
      <w:r w:rsidRPr="00261F53">
        <w:t xml:space="preserve"> </w:t>
      </w:r>
    </w:p>
    <w:p w14:paraId="1A23CAE7" w14:textId="07154D95" w:rsidR="00797D93" w:rsidRPr="00261F53" w:rsidRDefault="00797D93" w:rsidP="002B3750">
      <w:r w:rsidRPr="00261F53">
        <w:t>___ Enucleation</w:t>
      </w:r>
      <w:r w:rsidR="0038388E">
        <w:t xml:space="preserve"> (s</w:t>
      </w:r>
      <w:r w:rsidR="0038388E" w:rsidRPr="00900315">
        <w:t xml:space="preserve">ubtotal </w:t>
      </w:r>
      <w:r w:rsidR="0038388E">
        <w:t>p</w:t>
      </w:r>
      <w:r w:rsidR="0038388E" w:rsidRPr="00900315">
        <w:t>rostatectomy)</w:t>
      </w:r>
    </w:p>
    <w:p w14:paraId="6A2BB0C5" w14:textId="77777777" w:rsidR="00797D93" w:rsidRPr="00261F53" w:rsidRDefault="00797D93" w:rsidP="002B3750">
      <w:r w:rsidRPr="00261F53">
        <w:t>___ Other (specify): _____________________________</w:t>
      </w:r>
    </w:p>
    <w:p w14:paraId="29295FE4" w14:textId="77777777" w:rsidR="00797D93" w:rsidRPr="00261F53" w:rsidRDefault="00797D93" w:rsidP="002B3750">
      <w:r w:rsidRPr="00261F53">
        <w:t>___ Not specified</w:t>
      </w:r>
    </w:p>
    <w:p w14:paraId="33507E01" w14:textId="77777777" w:rsidR="00797D93" w:rsidRPr="00CA72FA" w:rsidRDefault="00797D93" w:rsidP="002B3750">
      <w:pPr>
        <w:pStyle w:val="Heading2"/>
        <w:rPr>
          <w:rFonts w:cs="Arial"/>
        </w:rPr>
      </w:pPr>
    </w:p>
    <w:p w14:paraId="31FEAD7A" w14:textId="77777777" w:rsidR="007540E1" w:rsidRPr="005E2FC8" w:rsidRDefault="007540E1" w:rsidP="007540E1">
      <w:pPr>
        <w:rPr>
          <w:rFonts w:cs="Arial"/>
          <w:b/>
        </w:rPr>
      </w:pPr>
      <w:r w:rsidRPr="005E2FC8">
        <w:rPr>
          <w:rFonts w:cs="Arial"/>
          <w:b/>
        </w:rPr>
        <w:t xml:space="preserve">Histologic Type </w:t>
      </w:r>
      <w:r>
        <w:rPr>
          <w:rFonts w:cs="Arial"/>
          <w:b/>
        </w:rPr>
        <w:t xml:space="preserve">(select all that apply) </w:t>
      </w:r>
      <w:r w:rsidRPr="005E2FC8">
        <w:rPr>
          <w:rFonts w:cs="Arial"/>
          <w:b/>
        </w:rPr>
        <w:t>(Note B)</w:t>
      </w:r>
    </w:p>
    <w:p w14:paraId="1251F53E" w14:textId="77777777" w:rsidR="007540E1" w:rsidRPr="00971DA1" w:rsidRDefault="007540E1" w:rsidP="007540E1">
      <w:pPr>
        <w:rPr>
          <w:rFonts w:cs="Arial"/>
        </w:rPr>
      </w:pPr>
      <w:r>
        <w:rPr>
          <w:rFonts w:cs="Arial"/>
        </w:rPr>
        <w:t xml:space="preserve">___ </w:t>
      </w:r>
      <w:r w:rsidRPr="00971DA1">
        <w:rPr>
          <w:rFonts w:cs="Arial"/>
        </w:rPr>
        <w:t>Acinar adenocarcinoma</w:t>
      </w:r>
    </w:p>
    <w:p w14:paraId="6D3A0FC8" w14:textId="77777777" w:rsidR="007540E1" w:rsidRPr="00971DA1" w:rsidRDefault="007540E1" w:rsidP="007540E1">
      <w:pPr>
        <w:tabs>
          <w:tab w:val="left" w:pos="284"/>
        </w:tabs>
        <w:rPr>
          <w:rFonts w:cs="Arial"/>
        </w:rPr>
      </w:pPr>
      <w:r>
        <w:rPr>
          <w:rFonts w:cs="Arial"/>
        </w:rPr>
        <w:t xml:space="preserve">___ </w:t>
      </w:r>
      <w:r w:rsidRPr="00971DA1">
        <w:rPr>
          <w:rFonts w:cs="Arial"/>
        </w:rPr>
        <w:t>Ductal adenocarcinoma</w:t>
      </w:r>
    </w:p>
    <w:p w14:paraId="677C57B3" w14:textId="77777777" w:rsidR="007540E1" w:rsidRDefault="007540E1" w:rsidP="007540E1">
      <w:pPr>
        <w:tabs>
          <w:tab w:val="left" w:pos="284"/>
        </w:tabs>
        <w:rPr>
          <w:rFonts w:cs="Arial"/>
        </w:rPr>
      </w:pPr>
      <w:r>
        <w:rPr>
          <w:rFonts w:cs="Arial"/>
        </w:rPr>
        <w:t>___ Small-cell neuroendocrine carcinoma</w:t>
      </w:r>
    </w:p>
    <w:p w14:paraId="7160D9AD" w14:textId="2B8BA8CD" w:rsidR="00A74BC4" w:rsidRDefault="00A74BC4" w:rsidP="007540E1">
      <w:pPr>
        <w:tabs>
          <w:tab w:val="left" w:pos="284"/>
        </w:tabs>
        <w:rPr>
          <w:rFonts w:cs="Arial"/>
        </w:rPr>
      </w:pPr>
      <w:r>
        <w:rPr>
          <w:rFonts w:cs="Arial"/>
        </w:rPr>
        <w:t xml:space="preserve">___ </w:t>
      </w:r>
      <w:r w:rsidRPr="00C403B7">
        <w:rPr>
          <w:rFonts w:cs="Arial"/>
        </w:rPr>
        <w:t>Isolated intraductal carcinoma</w:t>
      </w:r>
    </w:p>
    <w:p w14:paraId="283D6B62" w14:textId="77777777" w:rsidR="00797D93" w:rsidRPr="00CE3687" w:rsidRDefault="00797D93" w:rsidP="002B3750">
      <w:r w:rsidRPr="00CE3687">
        <w:t xml:space="preserve">___ Other </w:t>
      </w:r>
      <w:r w:rsidR="00635701">
        <w:rPr>
          <w:rFonts w:cs="Arial"/>
        </w:rPr>
        <w:t xml:space="preserve">histologic type not listed </w:t>
      </w:r>
      <w:r w:rsidRPr="00CE3687">
        <w:t>(specify): __________________________</w:t>
      </w:r>
    </w:p>
    <w:p w14:paraId="574D6405" w14:textId="77777777" w:rsidR="00797D93" w:rsidRPr="00261F53" w:rsidRDefault="00797D93" w:rsidP="002B3750"/>
    <w:p w14:paraId="4F02F05A" w14:textId="3880A115" w:rsidR="00797D93" w:rsidRPr="0001214D" w:rsidRDefault="00797D93" w:rsidP="002B3750">
      <w:pPr>
        <w:rPr>
          <w:b/>
        </w:rPr>
      </w:pPr>
      <w:r w:rsidRPr="0001214D">
        <w:rPr>
          <w:b/>
        </w:rPr>
        <w:t xml:space="preserve">Histologic Grade (Note </w:t>
      </w:r>
      <w:r w:rsidR="00CE3687" w:rsidRPr="0001214D">
        <w:rPr>
          <w:b/>
        </w:rPr>
        <w:t>C</w:t>
      </w:r>
      <w:r w:rsidRPr="0001214D">
        <w:rPr>
          <w:b/>
        </w:rPr>
        <w:t>)</w:t>
      </w:r>
    </w:p>
    <w:p w14:paraId="22D511D9" w14:textId="23BB4CFE" w:rsidR="00797D93" w:rsidRPr="00F238C6" w:rsidRDefault="00B02D6E" w:rsidP="00F238C6">
      <w:pPr>
        <w:rPr>
          <w:b/>
        </w:rPr>
      </w:pPr>
      <w:r w:rsidRPr="00F238C6">
        <w:rPr>
          <w:b/>
        </w:rPr>
        <w:t xml:space="preserve">Grade Group and </w:t>
      </w:r>
      <w:r w:rsidR="00797D93" w:rsidRPr="00F238C6">
        <w:rPr>
          <w:b/>
        </w:rPr>
        <w:t xml:space="preserve">Gleason </w:t>
      </w:r>
      <w:r w:rsidRPr="00F238C6">
        <w:rPr>
          <w:b/>
        </w:rPr>
        <w:t>Score</w:t>
      </w:r>
    </w:p>
    <w:p w14:paraId="631A672E" w14:textId="77777777" w:rsidR="00797D93" w:rsidRPr="00261F53" w:rsidRDefault="00797D93" w:rsidP="00F238C6">
      <w:r w:rsidRPr="00261F53">
        <w:t>___ Not applicable</w:t>
      </w:r>
    </w:p>
    <w:p w14:paraId="06F53624" w14:textId="77777777" w:rsidR="00797D93" w:rsidRDefault="00797D93" w:rsidP="00F238C6">
      <w:r w:rsidRPr="00261F53">
        <w:t xml:space="preserve">___ Cannot be </w:t>
      </w:r>
      <w:r w:rsidR="00A95111">
        <w:t>assessed</w:t>
      </w:r>
    </w:p>
    <w:p w14:paraId="34DD8718" w14:textId="77777777" w:rsidR="00B02D6E" w:rsidRPr="007C353F" w:rsidRDefault="00B02D6E" w:rsidP="00F238C6">
      <w:r w:rsidRPr="007C353F">
        <w:t>___ Grade group 1</w:t>
      </w:r>
      <w:r>
        <w:t xml:space="preserve"> (Gleason Score 3+3=6)</w:t>
      </w:r>
    </w:p>
    <w:p w14:paraId="31946FEC" w14:textId="77777777" w:rsidR="00B02D6E" w:rsidRDefault="00B02D6E" w:rsidP="00F238C6">
      <w:r w:rsidRPr="007C353F">
        <w:t>___ Grade group 2</w:t>
      </w:r>
      <w:r>
        <w:t xml:space="preserve"> (Gleason Score 3+4=7)</w:t>
      </w:r>
    </w:p>
    <w:p w14:paraId="26968029" w14:textId="77777777" w:rsidR="00B02D6E" w:rsidRDefault="00B02D6E" w:rsidP="00F238C6">
      <w:pPr>
        <w:keepNext/>
      </w:pPr>
      <w:r>
        <w:t>__</w:t>
      </w:r>
      <w:r w:rsidRPr="007C353F">
        <w:t>_ Grade group 3</w:t>
      </w:r>
      <w:r>
        <w:t xml:space="preserve"> (Gleason Score 4+3=7)</w:t>
      </w:r>
    </w:p>
    <w:p w14:paraId="76BF6D0C" w14:textId="77777777" w:rsidR="00B02D6E" w:rsidRDefault="00B02D6E" w:rsidP="00F238C6">
      <w:r w:rsidRPr="007C353F">
        <w:t>___ Grade group 4</w:t>
      </w:r>
      <w:r>
        <w:t xml:space="preserve"> (Gleason Score 4+4=8)</w:t>
      </w:r>
    </w:p>
    <w:p w14:paraId="28C7627E" w14:textId="77777777" w:rsidR="00B02D6E" w:rsidRPr="007C353F" w:rsidRDefault="00B02D6E" w:rsidP="00F238C6">
      <w:r w:rsidRPr="007C353F">
        <w:t>___ Grade group 4</w:t>
      </w:r>
      <w:r>
        <w:t xml:space="preserve"> (Gleason Score 3+5=8)</w:t>
      </w:r>
    </w:p>
    <w:p w14:paraId="041A3C71" w14:textId="77777777" w:rsidR="00B02D6E" w:rsidRPr="007C353F" w:rsidRDefault="00B02D6E" w:rsidP="00F238C6">
      <w:r w:rsidRPr="007C353F">
        <w:t>___ Grade group 4</w:t>
      </w:r>
      <w:r>
        <w:t xml:space="preserve"> (Gleason Score 5+3=8)</w:t>
      </w:r>
    </w:p>
    <w:p w14:paraId="7D8D6528" w14:textId="77777777" w:rsidR="00B02D6E" w:rsidRDefault="00B02D6E" w:rsidP="00F238C6">
      <w:r w:rsidRPr="007C353F">
        <w:t>___ Grade group 5</w:t>
      </w:r>
      <w:r>
        <w:t xml:space="preserve"> (Gleason Score 4+5=9)</w:t>
      </w:r>
    </w:p>
    <w:p w14:paraId="346EB2E2" w14:textId="77777777" w:rsidR="00B02D6E" w:rsidRPr="007C353F" w:rsidRDefault="00B02D6E" w:rsidP="00F238C6">
      <w:r w:rsidRPr="007C353F">
        <w:t>___ Grade group 5</w:t>
      </w:r>
      <w:r>
        <w:t xml:space="preserve"> (Gleason Score 5+4=9)</w:t>
      </w:r>
    </w:p>
    <w:p w14:paraId="15D14B9D" w14:textId="77777777" w:rsidR="00B02D6E" w:rsidRPr="007C353F" w:rsidRDefault="00B02D6E" w:rsidP="00F238C6">
      <w:r w:rsidRPr="007C353F">
        <w:t>___ Grade group 5</w:t>
      </w:r>
      <w:r>
        <w:t xml:space="preserve"> (Gleason Score 5+5=10)</w:t>
      </w:r>
    </w:p>
    <w:p w14:paraId="2C723810" w14:textId="77777777" w:rsidR="00B02D6E" w:rsidRPr="00261F53" w:rsidRDefault="00B02D6E" w:rsidP="00F238C6"/>
    <w:p w14:paraId="1877ABF1" w14:textId="60B9D515" w:rsidR="00136F19" w:rsidRPr="00145A6E" w:rsidRDefault="00136F19" w:rsidP="00F238C6">
      <w:pPr>
        <w:keepNext/>
        <w:rPr>
          <w:b/>
          <w:szCs w:val="22"/>
        </w:rPr>
      </w:pPr>
      <w:r w:rsidRPr="00BB6454">
        <w:rPr>
          <w:b/>
          <w:szCs w:val="22"/>
        </w:rPr>
        <w:t>Percentage of Pattern 4 in Gleason Score</w:t>
      </w:r>
      <w:r w:rsidR="008E03E0" w:rsidRPr="00BB6454">
        <w:rPr>
          <w:b/>
          <w:szCs w:val="22"/>
        </w:rPr>
        <w:t xml:space="preserve"> 7(</w:t>
      </w:r>
      <w:r w:rsidRPr="00BB6454">
        <w:rPr>
          <w:b/>
          <w:szCs w:val="22"/>
        </w:rPr>
        <w:t>3+4</w:t>
      </w:r>
      <w:r w:rsidR="008E03E0" w:rsidRPr="00BB6454">
        <w:rPr>
          <w:b/>
          <w:szCs w:val="22"/>
        </w:rPr>
        <w:t>, 4+3)</w:t>
      </w:r>
      <w:r w:rsidRPr="00BB6454">
        <w:rPr>
          <w:b/>
          <w:szCs w:val="22"/>
        </w:rPr>
        <w:t xml:space="preserve"> Cancer</w:t>
      </w:r>
      <w:r w:rsidR="00CA1261" w:rsidRPr="00BB6454">
        <w:rPr>
          <w:b/>
          <w:szCs w:val="22"/>
        </w:rPr>
        <w:t xml:space="preserve"> (</w:t>
      </w:r>
      <w:r w:rsidR="00E719E7">
        <w:rPr>
          <w:b/>
          <w:szCs w:val="22"/>
        </w:rPr>
        <w:t>report</w:t>
      </w:r>
      <w:r w:rsidR="00CA1261" w:rsidRPr="00BB6454">
        <w:rPr>
          <w:b/>
          <w:szCs w:val="22"/>
        </w:rPr>
        <w:t xml:space="preserve"> if applicable)</w:t>
      </w:r>
      <w:r w:rsidR="008E03E0">
        <w:rPr>
          <w:b/>
          <w:szCs w:val="22"/>
        </w:rPr>
        <w:t xml:space="preserve"> </w:t>
      </w:r>
      <w:r w:rsidR="008E03E0" w:rsidRPr="00D33B5F">
        <w:rPr>
          <w:szCs w:val="22"/>
        </w:rPr>
        <w:t>____%</w:t>
      </w:r>
    </w:p>
    <w:p w14:paraId="617991E4" w14:textId="77777777" w:rsidR="008D35B3" w:rsidRPr="008D35B3" w:rsidRDefault="008D35B3" w:rsidP="00F238C6">
      <w:pPr>
        <w:rPr>
          <w:b/>
        </w:rPr>
      </w:pPr>
    </w:p>
    <w:p w14:paraId="0FDEC36E" w14:textId="69FB7FCF" w:rsidR="00B002FE" w:rsidRPr="00F238C6" w:rsidRDefault="0062185C" w:rsidP="00F238C6">
      <w:pPr>
        <w:keepNext/>
        <w:rPr>
          <w:szCs w:val="22"/>
          <w:u w:val="single"/>
        </w:rPr>
      </w:pPr>
      <w:r w:rsidRPr="00F238C6">
        <w:rPr>
          <w:szCs w:val="22"/>
          <w:u w:val="single"/>
        </w:rPr>
        <w:t>Percentage Gleason P</w:t>
      </w:r>
      <w:r w:rsidR="00B002FE" w:rsidRPr="00F238C6">
        <w:rPr>
          <w:szCs w:val="22"/>
          <w:u w:val="single"/>
        </w:rPr>
        <w:t xml:space="preserve">atterns 4 and </w:t>
      </w:r>
      <w:r w:rsidRPr="00F238C6">
        <w:rPr>
          <w:szCs w:val="22"/>
          <w:u w:val="single"/>
        </w:rPr>
        <w:t>5 (</w:t>
      </w:r>
      <w:r w:rsidR="00B002FE" w:rsidRPr="00F238C6">
        <w:rPr>
          <w:szCs w:val="22"/>
          <w:u w:val="single"/>
        </w:rPr>
        <w:t xml:space="preserve">applicable to Gleason score </w:t>
      </w:r>
      <w:r w:rsidR="008E03E0" w:rsidRPr="00F238C6">
        <w:rPr>
          <w:szCs w:val="22"/>
          <w:u w:val="single"/>
        </w:rPr>
        <w:t xml:space="preserve">greater than </w:t>
      </w:r>
      <w:r w:rsidR="00B002FE" w:rsidRPr="00F238C6">
        <w:rPr>
          <w:szCs w:val="22"/>
          <w:u w:val="single"/>
        </w:rPr>
        <w:t xml:space="preserve">7) </w:t>
      </w:r>
    </w:p>
    <w:p w14:paraId="6FFC0024" w14:textId="4531840E" w:rsidR="00B002FE" w:rsidRDefault="00B002FE" w:rsidP="00F238C6">
      <w:pPr>
        <w:keepNext/>
        <w:rPr>
          <w:szCs w:val="22"/>
        </w:rPr>
      </w:pPr>
      <w:r w:rsidRPr="007C7C28">
        <w:rPr>
          <w:szCs w:val="22"/>
        </w:rPr>
        <w:t>Percentage pattern 4: ____%</w:t>
      </w:r>
    </w:p>
    <w:p w14:paraId="319E5339" w14:textId="035B00BE" w:rsidR="00B002FE" w:rsidRPr="002B3750" w:rsidRDefault="00B002FE" w:rsidP="00F238C6">
      <w:r w:rsidRPr="002B3750">
        <w:t>Percentage pattern 5: ____%</w:t>
      </w:r>
    </w:p>
    <w:p w14:paraId="21EB8BFF" w14:textId="77777777" w:rsidR="005035A1" w:rsidRPr="002B3750" w:rsidRDefault="005035A1" w:rsidP="002B3750"/>
    <w:p w14:paraId="64668AC1" w14:textId="675AB8CF" w:rsidR="008D35B3" w:rsidRPr="003415D1" w:rsidRDefault="00D33B5F" w:rsidP="002B3750">
      <w:pPr>
        <w:rPr>
          <w:b/>
        </w:rPr>
      </w:pPr>
      <w:r w:rsidRPr="003415D1">
        <w:rPr>
          <w:b/>
        </w:rPr>
        <w:t>Intraductal Carcinoma (</w:t>
      </w:r>
      <w:r w:rsidR="008D35B3" w:rsidRPr="003415D1">
        <w:rPr>
          <w:b/>
        </w:rPr>
        <w:t>IDC</w:t>
      </w:r>
      <w:r w:rsidRPr="003415D1">
        <w:rPr>
          <w:b/>
        </w:rPr>
        <w:t>)</w:t>
      </w:r>
      <w:r w:rsidR="00FE6A94" w:rsidRPr="003415D1">
        <w:rPr>
          <w:b/>
        </w:rPr>
        <w:t xml:space="preserve"> </w:t>
      </w:r>
      <w:r w:rsidR="008D35B3" w:rsidRPr="003415D1">
        <w:rPr>
          <w:b/>
        </w:rPr>
        <w:t xml:space="preserve">(Note </w:t>
      </w:r>
      <w:r w:rsidR="00840CAC" w:rsidRPr="003415D1">
        <w:rPr>
          <w:b/>
        </w:rPr>
        <w:t>D</w:t>
      </w:r>
      <w:r w:rsidR="008D35B3" w:rsidRPr="003415D1">
        <w:rPr>
          <w:b/>
        </w:rPr>
        <w:t>)</w:t>
      </w:r>
    </w:p>
    <w:p w14:paraId="4CE5F524" w14:textId="664A3F5F" w:rsidR="008D35B3" w:rsidRPr="008D35B3" w:rsidRDefault="008D35B3" w:rsidP="002B3750">
      <w:r w:rsidRPr="008D35B3">
        <w:t>__</w:t>
      </w:r>
      <w:r w:rsidR="0062185C">
        <w:t xml:space="preserve"> </w:t>
      </w:r>
      <w:r w:rsidRPr="008D35B3">
        <w:t>Not identified</w:t>
      </w:r>
    </w:p>
    <w:p w14:paraId="2CFA368D" w14:textId="1C6DF313" w:rsidR="008D35B3" w:rsidRDefault="008D35B3" w:rsidP="002B3750">
      <w:r w:rsidRPr="008D35B3">
        <w:t>__</w:t>
      </w:r>
      <w:r w:rsidR="0062185C">
        <w:t xml:space="preserve"> </w:t>
      </w:r>
      <w:r w:rsidRPr="008D35B3">
        <w:t>Present</w:t>
      </w:r>
    </w:p>
    <w:p w14:paraId="7F50F85D" w14:textId="42DB0562" w:rsidR="00BC622D" w:rsidRPr="008D35B3" w:rsidRDefault="00BC622D" w:rsidP="002B3750">
      <w:r w:rsidRPr="00BC622D">
        <w:t>___ Cannot be determined</w:t>
      </w:r>
    </w:p>
    <w:p w14:paraId="160B9C36" w14:textId="4721B0DA" w:rsidR="00AD11AE" w:rsidRDefault="00AD11AE">
      <w:r>
        <w:br w:type="page"/>
      </w:r>
    </w:p>
    <w:p w14:paraId="728A7601" w14:textId="77777777" w:rsidR="008D35B3" w:rsidRPr="00261F53" w:rsidRDefault="008D35B3" w:rsidP="002B3750"/>
    <w:p w14:paraId="5674870D" w14:textId="53BAEA10" w:rsidR="00E27973" w:rsidRPr="00E719E7" w:rsidRDefault="00797D93" w:rsidP="0048751B">
      <w:pPr>
        <w:rPr>
          <w:b/>
        </w:rPr>
      </w:pPr>
      <w:r w:rsidRPr="00E719E7">
        <w:rPr>
          <w:b/>
        </w:rPr>
        <w:t>Tumor Quantitation</w:t>
      </w:r>
      <w:r w:rsidR="00E27973" w:rsidRPr="00E719E7">
        <w:rPr>
          <w:b/>
        </w:rPr>
        <w:t xml:space="preserve"> (Note </w:t>
      </w:r>
      <w:r w:rsidR="00840CAC" w:rsidRPr="00E719E7">
        <w:rPr>
          <w:b/>
        </w:rPr>
        <w:t>E</w:t>
      </w:r>
      <w:r w:rsidR="00E27973" w:rsidRPr="00E719E7">
        <w:rPr>
          <w:b/>
        </w:rPr>
        <w:t>)</w:t>
      </w:r>
    </w:p>
    <w:p w14:paraId="46B0E16E" w14:textId="77777777" w:rsidR="0048751B" w:rsidRPr="00B94CD6" w:rsidRDefault="00E27973" w:rsidP="0048751B">
      <w:pPr>
        <w:rPr>
          <w:i/>
          <w:u w:val="single"/>
        </w:rPr>
      </w:pPr>
      <w:r w:rsidRPr="00B94CD6">
        <w:rPr>
          <w:i/>
          <w:u w:val="single"/>
        </w:rPr>
        <w:t xml:space="preserve">For </w:t>
      </w:r>
      <w:r w:rsidR="00797D93" w:rsidRPr="00B94CD6">
        <w:rPr>
          <w:i/>
          <w:u w:val="single"/>
        </w:rPr>
        <w:t>TUR</w:t>
      </w:r>
      <w:r w:rsidR="00C82134" w:rsidRPr="00B94CD6">
        <w:rPr>
          <w:i/>
          <w:u w:val="single"/>
        </w:rPr>
        <w:t>P</w:t>
      </w:r>
      <w:r w:rsidR="00797D93" w:rsidRPr="00B94CD6">
        <w:rPr>
          <w:i/>
          <w:u w:val="single"/>
        </w:rPr>
        <w:t xml:space="preserve"> Specimens</w:t>
      </w:r>
    </w:p>
    <w:p w14:paraId="442762E3" w14:textId="0CDEE3E9" w:rsidR="00797D93" w:rsidRPr="003415D1" w:rsidRDefault="00797D93" w:rsidP="002B3750">
      <w:pPr>
        <w:rPr>
          <w:b/>
        </w:rPr>
      </w:pPr>
      <w:r w:rsidRPr="003415D1">
        <w:rPr>
          <w:b/>
        </w:rPr>
        <w:t>Number of positive chips: ____</w:t>
      </w:r>
    </w:p>
    <w:p w14:paraId="3609814C" w14:textId="12CAD38A" w:rsidR="00797D93" w:rsidRPr="003415D1" w:rsidRDefault="00797D93" w:rsidP="002B3750">
      <w:pPr>
        <w:rPr>
          <w:b/>
        </w:rPr>
      </w:pPr>
      <w:r w:rsidRPr="003415D1">
        <w:rPr>
          <w:b/>
        </w:rPr>
        <w:t>Total number of chips: ____</w:t>
      </w:r>
    </w:p>
    <w:p w14:paraId="770CE85C" w14:textId="77777777" w:rsidR="00E46242" w:rsidRDefault="00E46242" w:rsidP="00E46242">
      <w:pPr>
        <w:keepNext/>
      </w:pPr>
      <w:r>
        <w:rPr>
          <w:szCs w:val="22"/>
        </w:rPr>
        <w:t>___</w:t>
      </w:r>
      <w:r w:rsidRPr="001F5E26">
        <w:t xml:space="preserve"> Cannot be determined</w:t>
      </w:r>
    </w:p>
    <w:p w14:paraId="00AEBE8B" w14:textId="4AD0802F" w:rsidR="00E46242" w:rsidRDefault="00E46242" w:rsidP="00E46242">
      <w:pPr>
        <w:keepNext/>
      </w:pPr>
      <w:r>
        <w:t>and</w:t>
      </w:r>
    </w:p>
    <w:p w14:paraId="4367D04C" w14:textId="77777777" w:rsidR="00E46242" w:rsidRDefault="00E46242" w:rsidP="00E46242">
      <w:pPr>
        <w:keepNext/>
        <w:rPr>
          <w:b/>
        </w:rPr>
      </w:pPr>
      <w:r w:rsidRPr="00145A6E">
        <w:rPr>
          <w:b/>
        </w:rPr>
        <w:t>Estimated percentage of prostatic tissue involved by tumor: ____%</w:t>
      </w:r>
    </w:p>
    <w:p w14:paraId="138FC9F6" w14:textId="05207497" w:rsidR="00E46242" w:rsidRPr="003415D1" w:rsidRDefault="00E46242" w:rsidP="00E46242">
      <w:pPr>
        <w:keepNext/>
      </w:pPr>
      <w:r w:rsidRPr="003415D1">
        <w:t>Percentage of tumor in each chip: ____%</w:t>
      </w:r>
    </w:p>
    <w:p w14:paraId="25B20A7E" w14:textId="77777777" w:rsidR="00797D93" w:rsidRDefault="00797D93" w:rsidP="002B3750"/>
    <w:p w14:paraId="3A493AFF" w14:textId="77777777" w:rsidR="00797D93" w:rsidRDefault="00E27973" w:rsidP="002B3750">
      <w:pPr>
        <w:pStyle w:val="Heading2"/>
        <w:rPr>
          <w:b w:val="0"/>
          <w:i/>
          <w:u w:val="single"/>
        </w:rPr>
      </w:pPr>
      <w:r w:rsidRPr="00B94CD6">
        <w:rPr>
          <w:b w:val="0"/>
          <w:i/>
          <w:u w:val="single"/>
        </w:rPr>
        <w:t xml:space="preserve">For </w:t>
      </w:r>
      <w:r w:rsidR="00797D93" w:rsidRPr="00B94CD6">
        <w:rPr>
          <w:b w:val="0"/>
          <w:i/>
          <w:u w:val="single"/>
        </w:rPr>
        <w:t xml:space="preserve">Enucleation </w:t>
      </w:r>
      <w:r w:rsidR="005F63D3" w:rsidRPr="00B94CD6">
        <w:rPr>
          <w:b w:val="0"/>
          <w:i/>
          <w:u w:val="single"/>
        </w:rPr>
        <w:t xml:space="preserve">and Other </w:t>
      </w:r>
      <w:r w:rsidR="00797D93" w:rsidRPr="00B94CD6">
        <w:rPr>
          <w:b w:val="0"/>
          <w:i/>
          <w:u w:val="single"/>
        </w:rPr>
        <w:t xml:space="preserve">Specimens </w:t>
      </w:r>
    </w:p>
    <w:p w14:paraId="26691D75" w14:textId="77777777" w:rsidR="00967161" w:rsidRPr="00145A6E" w:rsidRDefault="00E563C0" w:rsidP="002B3750">
      <w:pPr>
        <w:rPr>
          <w:b/>
        </w:rPr>
      </w:pPr>
      <w:r w:rsidRPr="00145A6E">
        <w:rPr>
          <w:b/>
        </w:rPr>
        <w:t>Estimated p</w:t>
      </w:r>
      <w:r w:rsidR="00797D93" w:rsidRPr="00145A6E">
        <w:rPr>
          <w:b/>
        </w:rPr>
        <w:t>ercent</w:t>
      </w:r>
      <w:r w:rsidR="00115930" w:rsidRPr="00145A6E">
        <w:rPr>
          <w:b/>
        </w:rPr>
        <w:t>age</w:t>
      </w:r>
      <w:r w:rsidR="00797D93" w:rsidRPr="00145A6E">
        <w:rPr>
          <w:b/>
        </w:rPr>
        <w:t xml:space="preserve"> of prostatic tissue involved by tumor: ____%</w:t>
      </w:r>
    </w:p>
    <w:p w14:paraId="299BDCA9" w14:textId="7A9BA08D" w:rsidR="00797D93" w:rsidRPr="004F4743" w:rsidRDefault="00797D93" w:rsidP="002B3750">
      <w:r w:rsidRPr="004F4743">
        <w:t xml:space="preserve">Tumor size (dominant nodule, if present): </w:t>
      </w:r>
    </w:p>
    <w:p w14:paraId="5B6CF9FD" w14:textId="0D24CD87" w:rsidR="00797D93" w:rsidRPr="004F4743" w:rsidRDefault="00797D93" w:rsidP="002B3750">
      <w:r w:rsidRPr="004F4743">
        <w:tab/>
        <w:t>Greatest dimension</w:t>
      </w:r>
      <w:r w:rsidR="00A32BF4" w:rsidRPr="004F4743">
        <w:t xml:space="preserve"> (</w:t>
      </w:r>
      <w:r w:rsidR="004F4743">
        <w:t>mill</w:t>
      </w:r>
      <w:r w:rsidR="00A32BF4" w:rsidRPr="004F4743">
        <w:t>imeters)</w:t>
      </w:r>
      <w:r w:rsidRPr="004F4743">
        <w:t xml:space="preserve">: ___ </w:t>
      </w:r>
      <w:r w:rsidR="004F4743">
        <w:t>m</w:t>
      </w:r>
      <w:r w:rsidR="004F4743" w:rsidRPr="004F4743">
        <w:t>m</w:t>
      </w:r>
    </w:p>
    <w:p w14:paraId="7EBF3A65" w14:textId="4B21BA0C" w:rsidR="00797D93" w:rsidRDefault="00797D93" w:rsidP="002B3750">
      <w:r w:rsidRPr="004F4743">
        <w:tab/>
        <w:t>Additional dimensions</w:t>
      </w:r>
      <w:r w:rsidR="00A32BF4" w:rsidRPr="004F4743">
        <w:t xml:space="preserve"> (</w:t>
      </w:r>
      <w:r w:rsidR="004F4743">
        <w:t>mill</w:t>
      </w:r>
      <w:r w:rsidR="004F4743" w:rsidRPr="004F4743">
        <w:t>imeters</w:t>
      </w:r>
      <w:r w:rsidR="00A32BF4" w:rsidRPr="004F4743">
        <w:t>)</w:t>
      </w:r>
      <w:r w:rsidRPr="004F4743">
        <w:t xml:space="preserve">: ___ x ___ </w:t>
      </w:r>
      <w:r w:rsidR="004F4743">
        <w:t>mm</w:t>
      </w:r>
    </w:p>
    <w:p w14:paraId="09302C95" w14:textId="77777777" w:rsidR="00797D93" w:rsidRPr="00261F53" w:rsidRDefault="00797D93" w:rsidP="002B3750"/>
    <w:p w14:paraId="182AF539" w14:textId="673CF39C" w:rsidR="00797D93" w:rsidRPr="00261F53" w:rsidRDefault="00797D93" w:rsidP="002B3750">
      <w:pPr>
        <w:pStyle w:val="Heading2"/>
        <w:keepLines/>
      </w:pPr>
      <w:r w:rsidRPr="00261F53">
        <w:t>Periprostatic Fat Invasion (</w:t>
      </w:r>
      <w:r w:rsidR="00E719E7">
        <w:t>report</w:t>
      </w:r>
      <w:r w:rsidR="00F43172">
        <w:t xml:space="preserve"> if identified in specimen</w:t>
      </w:r>
      <w:r w:rsidRPr="00261F53">
        <w:t>)</w:t>
      </w:r>
    </w:p>
    <w:p w14:paraId="430E3BD0" w14:textId="455C33C3" w:rsidR="00797D93" w:rsidRPr="00261F53" w:rsidRDefault="00797D93" w:rsidP="002B3750">
      <w:r w:rsidRPr="00261F53">
        <w:t>___ Not identified</w:t>
      </w:r>
    </w:p>
    <w:p w14:paraId="14196592" w14:textId="77777777" w:rsidR="00797D93" w:rsidRPr="00261F53" w:rsidRDefault="00797D93" w:rsidP="002B3750">
      <w:r w:rsidRPr="00261F53">
        <w:t>___ Present</w:t>
      </w:r>
    </w:p>
    <w:p w14:paraId="2D5A3EB3" w14:textId="77777777" w:rsidR="00797D93" w:rsidRPr="00261F53" w:rsidRDefault="00797D93" w:rsidP="002B3750"/>
    <w:p w14:paraId="7A241664" w14:textId="285A9F56" w:rsidR="00797D93" w:rsidRPr="00261F53" w:rsidRDefault="00797D93" w:rsidP="002B3750">
      <w:pPr>
        <w:pStyle w:val="Heading2"/>
        <w:keepLines/>
      </w:pPr>
      <w:r w:rsidRPr="00261F53">
        <w:t>Seminal Vesicle Invasion (</w:t>
      </w:r>
      <w:r w:rsidR="00F43172">
        <w:t>r</w:t>
      </w:r>
      <w:r w:rsidR="00E719E7">
        <w:t>eport</w:t>
      </w:r>
      <w:r w:rsidR="00F43172">
        <w:t xml:space="preserve"> if identified in specimen</w:t>
      </w:r>
      <w:r w:rsidRPr="00261F53">
        <w:t xml:space="preserve">) </w:t>
      </w:r>
    </w:p>
    <w:p w14:paraId="557BF177" w14:textId="49E4B3E1" w:rsidR="00797D93" w:rsidRPr="00261F53" w:rsidRDefault="00797D93" w:rsidP="002B3750">
      <w:r w:rsidRPr="00261F53">
        <w:t>___ Not identified</w:t>
      </w:r>
    </w:p>
    <w:p w14:paraId="0EEB34BB" w14:textId="77777777" w:rsidR="00797D93" w:rsidRPr="00261F53" w:rsidRDefault="00797D93" w:rsidP="002B3750">
      <w:r w:rsidRPr="00261F53">
        <w:t>___ Present</w:t>
      </w:r>
    </w:p>
    <w:p w14:paraId="70529CE2" w14:textId="77777777" w:rsidR="00797D93" w:rsidRPr="00261F53" w:rsidRDefault="00797D93" w:rsidP="002B3750"/>
    <w:p w14:paraId="2C5977B9" w14:textId="4BE4131D" w:rsidR="00797D93" w:rsidRPr="00145A6E" w:rsidRDefault="00797D93" w:rsidP="002B3750">
      <w:pPr>
        <w:pStyle w:val="Heading2"/>
        <w:keepLines/>
        <w:rPr>
          <w:b w:val="0"/>
        </w:rPr>
      </w:pPr>
      <w:r w:rsidRPr="00145A6E">
        <w:rPr>
          <w:b w:val="0"/>
        </w:rPr>
        <w:t>Lymph</w:t>
      </w:r>
      <w:r w:rsidR="00166836" w:rsidRPr="00145A6E">
        <w:rPr>
          <w:b w:val="0"/>
        </w:rPr>
        <w:t>ov</w:t>
      </w:r>
      <w:r w:rsidRPr="00145A6E">
        <w:rPr>
          <w:b w:val="0"/>
        </w:rPr>
        <w:t>ascular Invasion</w:t>
      </w:r>
      <w:r w:rsidR="002751C7" w:rsidRPr="00145A6E">
        <w:rPr>
          <w:b w:val="0"/>
        </w:rPr>
        <w:t xml:space="preserve"> </w:t>
      </w:r>
    </w:p>
    <w:p w14:paraId="7F52C427" w14:textId="22BDCB1A" w:rsidR="00797D93" w:rsidRPr="00261F53" w:rsidRDefault="00797D93" w:rsidP="002B3750">
      <w:pPr>
        <w:keepNext/>
        <w:keepLines/>
      </w:pPr>
      <w:r w:rsidRPr="00261F53">
        <w:t>___ Not identified</w:t>
      </w:r>
    </w:p>
    <w:p w14:paraId="253C051B" w14:textId="4342F80B" w:rsidR="00797D93" w:rsidRPr="00261F53" w:rsidRDefault="00797D93" w:rsidP="002B3750">
      <w:pPr>
        <w:keepNext/>
        <w:keepLines/>
      </w:pPr>
      <w:r w:rsidRPr="00261F53">
        <w:t>___ Present</w:t>
      </w:r>
    </w:p>
    <w:p w14:paraId="0A9C96BB" w14:textId="5D70D000" w:rsidR="00797D93" w:rsidRPr="00261F53" w:rsidRDefault="00797D93" w:rsidP="002B3750">
      <w:pPr>
        <w:keepNext/>
        <w:keepLines/>
      </w:pPr>
      <w:r w:rsidRPr="00261F53">
        <w:t xml:space="preserve">___ </w:t>
      </w:r>
      <w:r w:rsidR="00DB7571">
        <w:t>Cannot be determined</w:t>
      </w:r>
    </w:p>
    <w:p w14:paraId="344F4712" w14:textId="77777777" w:rsidR="00797D93" w:rsidRPr="00261F53" w:rsidRDefault="00797D93" w:rsidP="002B3750">
      <w:pPr>
        <w:keepNext/>
        <w:keepLines/>
      </w:pPr>
    </w:p>
    <w:p w14:paraId="60664DC9" w14:textId="197CE3D4" w:rsidR="00797D93" w:rsidRPr="00145A6E" w:rsidRDefault="00797D93" w:rsidP="002B3750">
      <w:pPr>
        <w:pStyle w:val="Heading2"/>
        <w:keepLines/>
        <w:rPr>
          <w:b w:val="0"/>
        </w:rPr>
      </w:pPr>
      <w:r w:rsidRPr="00145A6E">
        <w:rPr>
          <w:b w:val="0"/>
        </w:rPr>
        <w:t xml:space="preserve">Perineural Invasion (Note </w:t>
      </w:r>
      <w:r w:rsidR="005B4CF0">
        <w:rPr>
          <w:b w:val="0"/>
        </w:rPr>
        <w:t>F</w:t>
      </w:r>
      <w:r w:rsidRPr="00145A6E">
        <w:rPr>
          <w:b w:val="0"/>
        </w:rPr>
        <w:t>)</w:t>
      </w:r>
    </w:p>
    <w:p w14:paraId="4FC30677" w14:textId="25D422D9" w:rsidR="00797D93" w:rsidRPr="00261F53" w:rsidRDefault="00797D93" w:rsidP="002B3750">
      <w:pPr>
        <w:keepNext/>
        <w:keepLines/>
      </w:pPr>
      <w:r w:rsidRPr="00261F53">
        <w:t>___ Not identified</w:t>
      </w:r>
    </w:p>
    <w:p w14:paraId="07DBD308" w14:textId="629DDC0E" w:rsidR="00797D93" w:rsidRDefault="00797D93" w:rsidP="002B3750">
      <w:r w:rsidRPr="00261F53">
        <w:t>___ Present</w:t>
      </w:r>
    </w:p>
    <w:p w14:paraId="417282ED" w14:textId="77777777" w:rsidR="002041FC" w:rsidRPr="00261F53" w:rsidRDefault="002041FC" w:rsidP="002B3750"/>
    <w:p w14:paraId="653DFCA8" w14:textId="1AF250F9" w:rsidR="00797D93" w:rsidRPr="00145A6E" w:rsidRDefault="00797D93" w:rsidP="002B3750">
      <w:pPr>
        <w:pStyle w:val="Heading2"/>
        <w:rPr>
          <w:b w:val="0"/>
        </w:rPr>
      </w:pPr>
      <w:r w:rsidRPr="00145A6E">
        <w:rPr>
          <w:b w:val="0"/>
        </w:rPr>
        <w:t>Additional Pathologic Findings (select all that apply)</w:t>
      </w:r>
    </w:p>
    <w:p w14:paraId="1612A1C9" w14:textId="108D6FAE" w:rsidR="00797D93" w:rsidRPr="00261F53" w:rsidRDefault="00797D93" w:rsidP="002B3750">
      <w:r w:rsidRPr="00261F53">
        <w:t>___ None identified</w:t>
      </w:r>
    </w:p>
    <w:p w14:paraId="63D54CF2" w14:textId="661127D8" w:rsidR="00797D93" w:rsidRPr="00261F53" w:rsidRDefault="00797D93" w:rsidP="002B3750">
      <w:r w:rsidRPr="00261F53">
        <w:t xml:space="preserve">___ High-grade prostatic intraepithelial neoplasia (PIN) (Note </w:t>
      </w:r>
      <w:r w:rsidR="005B4CF0">
        <w:t>G</w:t>
      </w:r>
      <w:r w:rsidRPr="00261F53">
        <w:t>)</w:t>
      </w:r>
    </w:p>
    <w:p w14:paraId="08F5D136" w14:textId="063FEBEA" w:rsidR="00797D93" w:rsidRPr="00261F53" w:rsidRDefault="00797D93" w:rsidP="002B3750">
      <w:pPr>
        <w:rPr>
          <w:lang w:val="it-IT"/>
        </w:rPr>
      </w:pPr>
      <w:r w:rsidRPr="00261F53">
        <w:rPr>
          <w:lang w:val="it-IT"/>
        </w:rPr>
        <w:t>___ Atypical adenomatous hyperplasia (adenosis)</w:t>
      </w:r>
    </w:p>
    <w:p w14:paraId="5967AA4E" w14:textId="7EA23057" w:rsidR="00797D93" w:rsidRPr="00261F53" w:rsidRDefault="00797D93" w:rsidP="002B3750">
      <w:pPr>
        <w:rPr>
          <w:lang w:val="it-IT"/>
        </w:rPr>
      </w:pPr>
      <w:r w:rsidRPr="00261F53">
        <w:rPr>
          <w:lang w:val="it-IT"/>
        </w:rPr>
        <w:t>___ Nodular prostatic hyperplasia</w:t>
      </w:r>
    </w:p>
    <w:p w14:paraId="78FD5A2F" w14:textId="489FAFE6" w:rsidR="00797D93" w:rsidRPr="00261F53" w:rsidRDefault="00797D93" w:rsidP="002B3750">
      <w:r w:rsidRPr="00261F53">
        <w:t>___ Inflammation (specify type): ___________________________</w:t>
      </w:r>
    </w:p>
    <w:p w14:paraId="2A79B3D6" w14:textId="7C16A629" w:rsidR="00797D93" w:rsidRPr="00261F53" w:rsidRDefault="00797D93" w:rsidP="002B3750">
      <w:r w:rsidRPr="00261F53">
        <w:t>___ Other (specify): ___________________________</w:t>
      </w:r>
    </w:p>
    <w:p w14:paraId="19F4EED6" w14:textId="77777777" w:rsidR="00797D93" w:rsidRDefault="00797D93" w:rsidP="002B3750"/>
    <w:p w14:paraId="7F5DEE66" w14:textId="77777777" w:rsidR="00B27B06" w:rsidRPr="003415D1" w:rsidRDefault="00B27B06" w:rsidP="00B27B06">
      <w:pPr>
        <w:keepNext/>
        <w:rPr>
          <w:b/>
          <w:szCs w:val="22"/>
        </w:rPr>
      </w:pPr>
      <w:r w:rsidRPr="003415D1">
        <w:rPr>
          <w:b/>
          <w:szCs w:val="22"/>
        </w:rPr>
        <w:t xml:space="preserve">Treatment Effect </w:t>
      </w:r>
      <w:r w:rsidRPr="003415D1">
        <w:rPr>
          <w:b/>
        </w:rPr>
        <w:t xml:space="preserve">(select all that apply) </w:t>
      </w:r>
    </w:p>
    <w:p w14:paraId="518FC134" w14:textId="77777777" w:rsidR="00B27B06" w:rsidRPr="003415D1" w:rsidRDefault="00B27B06" w:rsidP="00B27B06">
      <w:pPr>
        <w:rPr>
          <w:szCs w:val="22"/>
        </w:rPr>
      </w:pPr>
      <w:r w:rsidRPr="003415D1">
        <w:rPr>
          <w:szCs w:val="22"/>
        </w:rPr>
        <w:t>___ No known presurgical therapy</w:t>
      </w:r>
    </w:p>
    <w:p w14:paraId="12F3D55D" w14:textId="77777777" w:rsidR="00B27B06" w:rsidRPr="003415D1" w:rsidRDefault="00B27B06" w:rsidP="00B27B06">
      <w:pPr>
        <w:rPr>
          <w:b/>
          <w:szCs w:val="22"/>
        </w:rPr>
      </w:pPr>
      <w:r w:rsidRPr="003415D1">
        <w:rPr>
          <w:szCs w:val="22"/>
        </w:rPr>
        <w:t>___</w:t>
      </w:r>
      <w:r w:rsidRPr="003415D1">
        <w:rPr>
          <w:b/>
          <w:szCs w:val="22"/>
        </w:rPr>
        <w:t xml:space="preserve"> </w:t>
      </w:r>
      <w:r w:rsidRPr="003415D1">
        <w:rPr>
          <w:szCs w:val="22"/>
        </w:rPr>
        <w:t>Not identified</w:t>
      </w:r>
    </w:p>
    <w:p w14:paraId="2F4D12B9" w14:textId="77777777" w:rsidR="00B27B06" w:rsidRPr="003415D1" w:rsidRDefault="00B27B06" w:rsidP="00B27B06">
      <w:r w:rsidRPr="003415D1">
        <w:t>___ Radiation therapy effect present</w:t>
      </w:r>
    </w:p>
    <w:p w14:paraId="3AD4170D" w14:textId="77777777" w:rsidR="00B27B06" w:rsidRPr="003415D1" w:rsidRDefault="00B27B06" w:rsidP="00B27B06">
      <w:r w:rsidRPr="003415D1">
        <w:t xml:space="preserve">___ Hormonal therapy effect present </w:t>
      </w:r>
    </w:p>
    <w:p w14:paraId="75853160" w14:textId="77777777" w:rsidR="00B27B06" w:rsidRPr="003415D1" w:rsidRDefault="00B27B06" w:rsidP="00B27B06">
      <w:r w:rsidRPr="003415D1">
        <w:t>___ Other therapy effect(s) present (specify): ____________________</w:t>
      </w:r>
    </w:p>
    <w:p w14:paraId="11C4200C" w14:textId="77777777" w:rsidR="00B27B06" w:rsidRPr="00261F53" w:rsidRDefault="00B27B06" w:rsidP="00B27B06">
      <w:r w:rsidRPr="003415D1">
        <w:t>___ Cannot be determined</w:t>
      </w:r>
    </w:p>
    <w:p w14:paraId="3DFC50F9" w14:textId="77777777" w:rsidR="00B27B06" w:rsidRPr="00261F53" w:rsidRDefault="00B27B06" w:rsidP="002B3750"/>
    <w:p w14:paraId="647B5644" w14:textId="013FAA69" w:rsidR="00797D93" w:rsidRPr="00145A6E" w:rsidRDefault="00797D93" w:rsidP="002B3750">
      <w:pPr>
        <w:pStyle w:val="Heading2"/>
        <w:rPr>
          <w:b w:val="0"/>
        </w:rPr>
      </w:pPr>
      <w:r w:rsidRPr="00145A6E">
        <w:rPr>
          <w:b w:val="0"/>
        </w:rPr>
        <w:t>Comment(s)</w:t>
      </w:r>
      <w:r w:rsidR="00C25C44">
        <w:rPr>
          <w:b w:val="0"/>
        </w:rPr>
        <w:t xml:space="preserve"> </w:t>
      </w:r>
    </w:p>
    <w:p w14:paraId="790DCB3C" w14:textId="77777777" w:rsidR="004919D7" w:rsidRPr="004919D7" w:rsidRDefault="004919D7" w:rsidP="004919D7"/>
    <w:p w14:paraId="6AA95654" w14:textId="77777777" w:rsidR="00F23436" w:rsidRDefault="00F23436" w:rsidP="002B3750">
      <w:pPr>
        <w:pStyle w:val="Head2"/>
        <w:rPr>
          <w:b w:val="0"/>
        </w:rPr>
        <w:sectPr w:rsidR="00F23436" w:rsidSect="007105AF">
          <w:headerReference w:type="default" r:id="rId14"/>
          <w:endnotePr>
            <w:numFmt w:val="decimal"/>
          </w:endnotePr>
          <w:pgSz w:w="12240" w:h="15840"/>
          <w:pgMar w:top="1440" w:right="1080" w:bottom="0" w:left="1080" w:header="720" w:footer="936" w:gutter="0"/>
          <w:cols w:space="720"/>
        </w:sectPr>
      </w:pPr>
    </w:p>
    <w:p w14:paraId="196D8748" w14:textId="77777777" w:rsidR="00797D93" w:rsidRPr="0062185C" w:rsidRDefault="00797D93" w:rsidP="002B3750">
      <w:pPr>
        <w:pStyle w:val="Head2"/>
        <w:rPr>
          <w:sz w:val="26"/>
          <w:szCs w:val="26"/>
        </w:rPr>
      </w:pPr>
      <w:r w:rsidRPr="0062185C">
        <w:rPr>
          <w:sz w:val="26"/>
          <w:szCs w:val="26"/>
        </w:rPr>
        <w:lastRenderedPageBreak/>
        <w:t>Explanatory Notes</w:t>
      </w:r>
    </w:p>
    <w:p w14:paraId="19EB9719" w14:textId="77777777" w:rsidR="00797D93" w:rsidRPr="00261F53" w:rsidRDefault="00797D93" w:rsidP="002B3750">
      <w:pPr>
        <w:pStyle w:val="Heading2"/>
      </w:pPr>
    </w:p>
    <w:p w14:paraId="4A322DA4" w14:textId="3B1DC011" w:rsidR="00E339FE" w:rsidRPr="00261F53" w:rsidRDefault="00E339FE" w:rsidP="00E339FE">
      <w:pPr>
        <w:pStyle w:val="Heading2"/>
      </w:pPr>
      <w:r>
        <w:t xml:space="preserve">A.  </w:t>
      </w:r>
      <w:r w:rsidRPr="00261F53">
        <w:t>Submission of Tissue for Microscopic Evaluation in Transurethral Resection</w:t>
      </w:r>
    </w:p>
    <w:p w14:paraId="020DBA0F" w14:textId="5C3E4B88" w:rsidR="00E339FE" w:rsidRPr="00261F53" w:rsidRDefault="00E339FE" w:rsidP="00E339FE">
      <w:r w:rsidRPr="00261F53">
        <w:t>Transurethral resection specimens that weigh 12 g</w:t>
      </w:r>
      <w:r w:rsidR="007D561C">
        <w:t>rams</w:t>
      </w:r>
      <w:r w:rsidRPr="00261F53">
        <w:t xml:space="preserve"> or less should be submitted in their entirety, usually in 6 to 8 cassettes.</w:t>
      </w:r>
      <w:r>
        <w:rPr>
          <w:rStyle w:val="Superscript"/>
          <w:rFonts w:cs="Arial"/>
        </w:rPr>
        <w:t>1</w:t>
      </w:r>
      <w:r w:rsidRPr="00261F53">
        <w:t xml:space="preserve"> For specimens that weigh more than 12 g, the i</w:t>
      </w:r>
      <w:r>
        <w:t>nitial 12 g are submitted (6-</w:t>
      </w:r>
      <w:r w:rsidRPr="00261F53">
        <w:t>8 cassettes), and 1 cassette may be submitted for every additional 5</w:t>
      </w:r>
      <w:r>
        <w:t xml:space="preserve"> </w:t>
      </w:r>
      <w:r w:rsidRPr="00261F53">
        <w:t xml:space="preserve">g </w:t>
      </w:r>
      <w:r>
        <w:t>of remaining tissue</w:t>
      </w:r>
      <w:r w:rsidRPr="00261F53">
        <w:t>.</w:t>
      </w:r>
      <w:r>
        <w:rPr>
          <w:vertAlign w:val="superscript"/>
        </w:rPr>
        <w:t>2</w:t>
      </w:r>
    </w:p>
    <w:p w14:paraId="63A77DE1" w14:textId="77777777" w:rsidR="00E339FE" w:rsidRPr="00261F53" w:rsidRDefault="00E339FE" w:rsidP="00E339FE"/>
    <w:p w14:paraId="2B9515EE" w14:textId="77777777" w:rsidR="00E339FE" w:rsidRPr="00261F53" w:rsidRDefault="00E339FE" w:rsidP="00E339FE">
      <w:r w:rsidRPr="00261F53">
        <w:t>In general, random chips are submitted; however, if some chips are firmer or have a yellow or orange-yellow appearance, they should be submitted preferentially.</w:t>
      </w:r>
    </w:p>
    <w:p w14:paraId="1177193D" w14:textId="77777777" w:rsidR="00E339FE" w:rsidRPr="00261F53" w:rsidRDefault="00E339FE" w:rsidP="00E339FE"/>
    <w:p w14:paraId="21100178" w14:textId="77777777" w:rsidR="00E339FE" w:rsidRPr="00261F53" w:rsidRDefault="00E339FE" w:rsidP="00E339FE">
      <w:r w:rsidRPr="00261F53">
        <w:t>If an unsuspected carcinoma is found in tissue submitted, and it involves 5% or less of the tissue examined, the remaining tissue may be submitted for microscopic examination, especially in younger patients.</w:t>
      </w:r>
    </w:p>
    <w:p w14:paraId="2F944B3B" w14:textId="77777777" w:rsidR="00E339FE" w:rsidRPr="00EE1454" w:rsidRDefault="00E339FE" w:rsidP="00E339FE"/>
    <w:p w14:paraId="6716D539" w14:textId="47577059" w:rsidR="00E339FE" w:rsidRPr="00EE1454" w:rsidRDefault="00E339FE" w:rsidP="00E339FE">
      <w:r w:rsidRPr="00EE1454">
        <w:t>References</w:t>
      </w:r>
      <w:r w:rsidR="007D561C">
        <w:t>:</w:t>
      </w:r>
      <w:r w:rsidRPr="00EE1454">
        <w:t xml:space="preserve"> </w:t>
      </w:r>
    </w:p>
    <w:p w14:paraId="71FECDC9" w14:textId="77777777" w:rsidR="00E339FE" w:rsidRPr="00EE1454" w:rsidRDefault="00E339FE" w:rsidP="00894572">
      <w:pPr>
        <w:pStyle w:val="References"/>
        <w:ind w:left="360" w:hanging="360"/>
      </w:pPr>
      <w:r w:rsidRPr="00EE1454">
        <w:t>1.</w:t>
      </w:r>
      <w:r w:rsidRPr="00EE1454">
        <w:tab/>
        <w:t xml:space="preserve">Humphrey PA, Walther PJ. Adenocarcinoma of the prostate, I: sampling considerations. </w:t>
      </w:r>
      <w:r w:rsidRPr="00EE1454">
        <w:rPr>
          <w:i/>
        </w:rPr>
        <w:t xml:space="preserve">Am J Clin </w:t>
      </w:r>
      <w:proofErr w:type="spellStart"/>
      <w:r w:rsidRPr="00EE1454">
        <w:rPr>
          <w:i/>
        </w:rPr>
        <w:t>Pathol</w:t>
      </w:r>
      <w:proofErr w:type="spellEnd"/>
      <w:r w:rsidRPr="00EE1454">
        <w:rPr>
          <w:i/>
        </w:rPr>
        <w:t>.</w:t>
      </w:r>
      <w:r w:rsidRPr="00EE1454">
        <w:t xml:space="preserve"> 1993;99:746-759.</w:t>
      </w:r>
    </w:p>
    <w:p w14:paraId="57298F4E" w14:textId="77777777" w:rsidR="00E339FE" w:rsidRPr="00EE1454" w:rsidRDefault="00E339FE" w:rsidP="00894572">
      <w:pPr>
        <w:pStyle w:val="References"/>
        <w:ind w:left="360" w:hanging="360"/>
      </w:pPr>
      <w:r w:rsidRPr="00EE1454">
        <w:t>2.</w:t>
      </w:r>
      <w:r w:rsidRPr="00EE1454">
        <w:tab/>
        <w:t xml:space="preserve">Trpkov K, Thompson J, </w:t>
      </w:r>
      <w:proofErr w:type="spellStart"/>
      <w:r w:rsidRPr="00EE1454">
        <w:t>Kulaga</w:t>
      </w:r>
      <w:proofErr w:type="spellEnd"/>
      <w:r w:rsidRPr="00EE1454">
        <w:t xml:space="preserve"> A, Yilmaz A. How much tissue sampling is required when minimal prostate carcinoma is identified on transurethral resection? </w:t>
      </w:r>
      <w:r w:rsidRPr="00EE1454">
        <w:rPr>
          <w:i/>
        </w:rPr>
        <w:t>Arch Path Lab Med.</w:t>
      </w:r>
      <w:r w:rsidRPr="00EE1454">
        <w:t xml:space="preserve"> 2008;132(8):1313-1316.</w:t>
      </w:r>
    </w:p>
    <w:p w14:paraId="706B83C4" w14:textId="77777777" w:rsidR="00E339FE" w:rsidRPr="00EE1454" w:rsidRDefault="00E339FE" w:rsidP="00894572">
      <w:pPr>
        <w:pStyle w:val="References"/>
        <w:ind w:left="360" w:hanging="360"/>
      </w:pPr>
      <w:r w:rsidRPr="00EE1454">
        <w:t>3.</w:t>
      </w:r>
      <w:r w:rsidRPr="00EE1454">
        <w:tab/>
        <w:t xml:space="preserve">Paner GP, Magi-Galluzzi C, Amin MB, Srigley JR: Adenocarcinoma of the prostate. In: Amin MB, Grignon DJ, Srigley JR, </w:t>
      </w:r>
      <w:proofErr w:type="spellStart"/>
      <w:r w:rsidRPr="00EE1454">
        <w:t>Eble</w:t>
      </w:r>
      <w:proofErr w:type="spellEnd"/>
      <w:r w:rsidRPr="00EE1454">
        <w:t xml:space="preserve"> </w:t>
      </w:r>
      <w:proofErr w:type="spellStart"/>
      <w:r w:rsidRPr="00EE1454">
        <w:t>JN,eds</w:t>
      </w:r>
      <w:proofErr w:type="spellEnd"/>
      <w:r w:rsidRPr="00EE1454">
        <w:t xml:space="preserve">. </w:t>
      </w:r>
      <w:r w:rsidRPr="00EE1454">
        <w:rPr>
          <w:i/>
        </w:rPr>
        <w:t>Urological Pathology.</w:t>
      </w:r>
      <w:r w:rsidRPr="00EE1454">
        <w:t xml:space="preserve"> Philadelphia, PA: Lippincott William &amp; Wilkins; 2014:559-673.</w:t>
      </w:r>
    </w:p>
    <w:p w14:paraId="67AAEDA3" w14:textId="77777777" w:rsidR="00E339FE" w:rsidRPr="00EE1454" w:rsidRDefault="00E339FE" w:rsidP="00894572">
      <w:pPr>
        <w:pStyle w:val="References"/>
        <w:ind w:left="360" w:hanging="360"/>
      </w:pPr>
      <w:r w:rsidRPr="00EE1454">
        <w:t>4.</w:t>
      </w:r>
      <w:r w:rsidRPr="00EE1454">
        <w:tab/>
        <w:t xml:space="preserve">Srigley JR. Key issues in handling and reporting radical prostatectomy specimens. </w:t>
      </w:r>
      <w:r w:rsidRPr="00EE1454">
        <w:rPr>
          <w:i/>
        </w:rPr>
        <w:t xml:space="preserve">Arch </w:t>
      </w:r>
      <w:proofErr w:type="spellStart"/>
      <w:r w:rsidRPr="00EE1454">
        <w:rPr>
          <w:i/>
        </w:rPr>
        <w:t>Pathol</w:t>
      </w:r>
      <w:proofErr w:type="spellEnd"/>
      <w:r w:rsidRPr="00EE1454">
        <w:rPr>
          <w:i/>
        </w:rPr>
        <w:t xml:space="preserve"> Lab Med.</w:t>
      </w:r>
      <w:r w:rsidRPr="00EE1454">
        <w:t xml:space="preserve"> 2006;30:303-317.</w:t>
      </w:r>
    </w:p>
    <w:p w14:paraId="236B7496" w14:textId="77777777" w:rsidR="00E339FE" w:rsidRPr="00EE1454" w:rsidRDefault="00E339FE" w:rsidP="00894572">
      <w:pPr>
        <w:pStyle w:val="References"/>
        <w:ind w:left="360" w:hanging="360"/>
      </w:pPr>
      <w:r w:rsidRPr="00EE1454">
        <w:t>5.</w:t>
      </w:r>
      <w:r w:rsidRPr="00EE1454">
        <w:tab/>
        <w:t xml:space="preserve">Sehdev AE, Pan CC, Epstein JI. Comparative analysis of sampling methods for grossing radical prostatectomy specimens performed for nonpalpable (stage T1c) prostatic adenocarcinoma. </w:t>
      </w:r>
      <w:r w:rsidRPr="00EE1454">
        <w:rPr>
          <w:i/>
        </w:rPr>
        <w:t xml:space="preserve">Hum </w:t>
      </w:r>
      <w:proofErr w:type="spellStart"/>
      <w:r w:rsidRPr="00EE1454">
        <w:rPr>
          <w:i/>
        </w:rPr>
        <w:t>Pathol</w:t>
      </w:r>
      <w:proofErr w:type="spellEnd"/>
      <w:r w:rsidRPr="00EE1454">
        <w:rPr>
          <w:i/>
        </w:rPr>
        <w:t>.</w:t>
      </w:r>
      <w:r w:rsidRPr="00EE1454">
        <w:t xml:space="preserve"> 2001;32:494-499.</w:t>
      </w:r>
    </w:p>
    <w:p w14:paraId="6C646752" w14:textId="77777777" w:rsidR="00E339FE" w:rsidRDefault="00E339FE" w:rsidP="00894572">
      <w:pPr>
        <w:pStyle w:val="References"/>
        <w:ind w:left="360" w:hanging="360"/>
      </w:pPr>
      <w:r w:rsidRPr="00EE1454">
        <w:t>6.</w:t>
      </w:r>
      <w:r w:rsidRPr="00EE1454">
        <w:tab/>
      </w:r>
      <w:proofErr w:type="spellStart"/>
      <w:r w:rsidRPr="00EE1454">
        <w:t>Samarantunga</w:t>
      </w:r>
      <w:proofErr w:type="spellEnd"/>
      <w:r w:rsidRPr="00EE1454">
        <w:t xml:space="preserve"> H, </w:t>
      </w:r>
      <w:proofErr w:type="spellStart"/>
      <w:r w:rsidRPr="00EE1454">
        <w:t>Montironi</w:t>
      </w:r>
      <w:proofErr w:type="spellEnd"/>
      <w:r w:rsidRPr="00EE1454">
        <w:t xml:space="preserve"> R, True L, et al; The ISUP prostate consensus group. International Society of Urological Pathology (ISUP) Consensus Conference on Handling and Staging of Radical Prostatectomy Specimens: Working group 1: handling of the specimen. </w:t>
      </w:r>
      <w:r w:rsidRPr="00EE1454">
        <w:rPr>
          <w:i/>
        </w:rPr>
        <w:t xml:space="preserve">Mod </w:t>
      </w:r>
      <w:proofErr w:type="spellStart"/>
      <w:r w:rsidRPr="00EE1454">
        <w:rPr>
          <w:i/>
        </w:rPr>
        <w:t>Pathol</w:t>
      </w:r>
      <w:proofErr w:type="spellEnd"/>
      <w:r w:rsidRPr="00EE1454">
        <w:t>. 2011;24:6-15.</w:t>
      </w:r>
    </w:p>
    <w:p w14:paraId="3656871A" w14:textId="77777777" w:rsidR="005C35E3" w:rsidRPr="005C35E3" w:rsidRDefault="005C35E3" w:rsidP="006E413D"/>
    <w:p w14:paraId="72CFA15C" w14:textId="77777777" w:rsidR="00797D93" w:rsidRPr="00261F53" w:rsidRDefault="00912258" w:rsidP="002B3750">
      <w:pPr>
        <w:pStyle w:val="Heading2"/>
      </w:pPr>
      <w:r>
        <w:t>B.</w:t>
      </w:r>
      <w:r>
        <w:tab/>
      </w:r>
      <w:r w:rsidR="00797D93" w:rsidRPr="00261F53">
        <w:t>Histologic Type</w:t>
      </w:r>
    </w:p>
    <w:p w14:paraId="226E4368" w14:textId="77777777" w:rsidR="001060D2" w:rsidRPr="00400362" w:rsidRDefault="001060D2" w:rsidP="002B3750">
      <w:r w:rsidRPr="00400362">
        <w:t>This protocol applies only to invasive adenocarcinomas of the prostate gland</w:t>
      </w:r>
      <w:r w:rsidR="005E2FC8">
        <w:t>,</w:t>
      </w:r>
      <w:r w:rsidRPr="00400362">
        <w:t xml:space="preserve"> as show</w:t>
      </w:r>
      <w:r w:rsidR="000644F0">
        <w:t>n</w:t>
      </w:r>
      <w:r w:rsidRPr="00400362">
        <w:t xml:space="preserve"> below. Carcinomas other than adenocarcinoma are exceptionally uncommon</w:t>
      </w:r>
      <w:r w:rsidR="00083A3A">
        <w:t>,</w:t>
      </w:r>
      <w:r w:rsidRPr="00400362">
        <w:t xml:space="preserve"> account</w:t>
      </w:r>
      <w:r w:rsidR="00447F98">
        <w:t>ing</w:t>
      </w:r>
      <w:r w:rsidRPr="00400362">
        <w:t xml:space="preserve"> for less than 0.5% of prostatic tumors. The protocol does not apply to </w:t>
      </w:r>
      <w:r w:rsidR="00447F98">
        <w:t>pure</w:t>
      </w:r>
      <w:r w:rsidRPr="00400362">
        <w:t xml:space="preserve"> squamous cell carcinoma, basal cell carcinoma, urothelial carcinoma, small cell neuroendocrine carcinoma</w:t>
      </w:r>
      <w:r w:rsidR="005E2FC8">
        <w:t>,</w:t>
      </w:r>
      <w:r w:rsidRPr="00400362">
        <w:t xml:space="preserve"> and large </w:t>
      </w:r>
      <w:r w:rsidR="00447F98">
        <w:t>cell</w:t>
      </w:r>
      <w:r w:rsidRPr="00400362">
        <w:t xml:space="preserve"> neuroendocrine carcinoma. If these rare subtypes of carcinoma</w:t>
      </w:r>
      <w:r w:rsidR="00083A3A">
        <w:t>, however,</w:t>
      </w:r>
      <w:r w:rsidRPr="00400362">
        <w:t xml:space="preserve"> are mixed with acinar type adenocarcinoma, the protocol may be used. </w:t>
      </w:r>
    </w:p>
    <w:p w14:paraId="7B1CB648" w14:textId="77777777" w:rsidR="002B3750" w:rsidRDefault="002B3750" w:rsidP="002B3750">
      <w:pPr>
        <w:rPr>
          <w:rFonts w:cs="Arial"/>
          <w:b/>
        </w:rPr>
      </w:pPr>
    </w:p>
    <w:p w14:paraId="1789EFA1" w14:textId="74119F52" w:rsidR="00EF6F84" w:rsidRPr="00D16EF9" w:rsidRDefault="005E2FC8" w:rsidP="002B3750">
      <w:pPr>
        <w:rPr>
          <w:rFonts w:cs="Arial"/>
          <w:b/>
        </w:rPr>
      </w:pPr>
      <w:r>
        <w:rPr>
          <w:rFonts w:cs="Arial"/>
          <w:b/>
        </w:rPr>
        <w:t>Classification of Invasive Adenocarcinoma of P</w:t>
      </w:r>
      <w:r w:rsidR="00EF6F84" w:rsidRPr="00D16EF9">
        <w:rPr>
          <w:rFonts w:cs="Arial"/>
          <w:b/>
        </w:rPr>
        <w:t xml:space="preserve">rostate (2016 WHO </w:t>
      </w:r>
      <w:r>
        <w:rPr>
          <w:rFonts w:cs="Arial"/>
          <w:b/>
        </w:rPr>
        <w:t>classification</w:t>
      </w:r>
      <w:r w:rsidR="008C33DE">
        <w:rPr>
          <w:rFonts w:cs="Arial"/>
          <w:b/>
          <w:vertAlign w:val="superscript"/>
        </w:rPr>
        <w:t>1</w:t>
      </w:r>
      <w:r w:rsidR="00EF6F84" w:rsidRPr="00D16EF9">
        <w:rPr>
          <w:rFonts w:cs="Arial"/>
          <w:b/>
        </w:rPr>
        <w:t>)</w:t>
      </w:r>
    </w:p>
    <w:p w14:paraId="21BAB68D" w14:textId="77777777" w:rsidR="00912258" w:rsidRPr="00971DA1" w:rsidRDefault="00912258" w:rsidP="002B3750">
      <w:pPr>
        <w:rPr>
          <w:rFonts w:cs="Arial"/>
        </w:rPr>
      </w:pPr>
      <w:r w:rsidRPr="00971DA1">
        <w:rPr>
          <w:rFonts w:cs="Arial"/>
        </w:rPr>
        <w:t>Acinar adenocarcinoma</w:t>
      </w:r>
    </w:p>
    <w:p w14:paraId="12FA0881" w14:textId="77777777" w:rsidR="00912258" w:rsidRPr="00971DA1" w:rsidRDefault="00912258" w:rsidP="002B3750">
      <w:pPr>
        <w:tabs>
          <w:tab w:val="left" w:pos="284"/>
        </w:tabs>
        <w:ind w:left="284"/>
        <w:rPr>
          <w:rFonts w:cs="Arial"/>
        </w:rPr>
      </w:pPr>
      <w:r w:rsidRPr="00971DA1">
        <w:rPr>
          <w:rFonts w:cs="Arial"/>
        </w:rPr>
        <w:t>Atrophic</w:t>
      </w:r>
    </w:p>
    <w:p w14:paraId="1D250911" w14:textId="77777777" w:rsidR="00912258" w:rsidRPr="00971DA1" w:rsidRDefault="00912258" w:rsidP="002B3750">
      <w:pPr>
        <w:tabs>
          <w:tab w:val="left" w:pos="284"/>
        </w:tabs>
        <w:ind w:left="284"/>
        <w:rPr>
          <w:rFonts w:cs="Arial"/>
        </w:rPr>
      </w:pPr>
      <w:r w:rsidRPr="00971DA1">
        <w:rPr>
          <w:rFonts w:cs="Arial"/>
        </w:rPr>
        <w:t>Pseudohyperplastic</w:t>
      </w:r>
    </w:p>
    <w:p w14:paraId="30D9A09A" w14:textId="77777777" w:rsidR="00912258" w:rsidRPr="00971DA1" w:rsidRDefault="00912258" w:rsidP="002B3750">
      <w:pPr>
        <w:tabs>
          <w:tab w:val="left" w:pos="284"/>
        </w:tabs>
        <w:ind w:left="284"/>
        <w:rPr>
          <w:rFonts w:cs="Arial"/>
        </w:rPr>
      </w:pPr>
      <w:r w:rsidRPr="00971DA1">
        <w:rPr>
          <w:rFonts w:cs="Arial"/>
        </w:rPr>
        <w:t>Microcystic</w:t>
      </w:r>
    </w:p>
    <w:p w14:paraId="27F2FC1A" w14:textId="77777777" w:rsidR="00912258" w:rsidRPr="00971DA1" w:rsidRDefault="00912258" w:rsidP="002B3750">
      <w:pPr>
        <w:tabs>
          <w:tab w:val="left" w:pos="284"/>
        </w:tabs>
        <w:ind w:left="284"/>
        <w:rPr>
          <w:rFonts w:cs="Arial"/>
        </w:rPr>
      </w:pPr>
      <w:r w:rsidRPr="00971DA1">
        <w:rPr>
          <w:rFonts w:cs="Arial"/>
        </w:rPr>
        <w:t>Foamy gland</w:t>
      </w:r>
    </w:p>
    <w:p w14:paraId="2FBE4837" w14:textId="77777777" w:rsidR="00912258" w:rsidRPr="00971DA1" w:rsidRDefault="00912258" w:rsidP="002B3750">
      <w:pPr>
        <w:tabs>
          <w:tab w:val="left" w:pos="284"/>
        </w:tabs>
        <w:ind w:left="284"/>
        <w:rPr>
          <w:rFonts w:cs="Arial"/>
        </w:rPr>
      </w:pPr>
      <w:r w:rsidRPr="00971DA1">
        <w:rPr>
          <w:rFonts w:cs="Arial"/>
        </w:rPr>
        <w:t>Mucinous (colloid)</w:t>
      </w:r>
    </w:p>
    <w:p w14:paraId="31E5267F" w14:textId="77777777" w:rsidR="00912258" w:rsidRPr="00971DA1" w:rsidRDefault="00912258" w:rsidP="002B3750">
      <w:pPr>
        <w:tabs>
          <w:tab w:val="left" w:pos="284"/>
        </w:tabs>
        <w:ind w:left="284"/>
        <w:rPr>
          <w:rFonts w:cs="Arial"/>
        </w:rPr>
      </w:pPr>
      <w:r w:rsidRPr="00971DA1">
        <w:rPr>
          <w:rFonts w:cs="Arial"/>
        </w:rPr>
        <w:t>Signet ring</w:t>
      </w:r>
      <w:r w:rsidR="00263C2F">
        <w:rPr>
          <w:rFonts w:cs="Arial"/>
        </w:rPr>
        <w:t>-like cell</w:t>
      </w:r>
    </w:p>
    <w:p w14:paraId="3F0298AC" w14:textId="77777777" w:rsidR="00912258" w:rsidRPr="00971DA1" w:rsidRDefault="00912258" w:rsidP="002B3750">
      <w:pPr>
        <w:tabs>
          <w:tab w:val="left" w:pos="284"/>
        </w:tabs>
        <w:ind w:left="284"/>
        <w:rPr>
          <w:rFonts w:cs="Arial"/>
        </w:rPr>
      </w:pPr>
      <w:r w:rsidRPr="00971DA1">
        <w:rPr>
          <w:rFonts w:cs="Arial"/>
        </w:rPr>
        <w:t xml:space="preserve">Pleomorphic giant cell </w:t>
      </w:r>
    </w:p>
    <w:p w14:paraId="61A7E3B6" w14:textId="77777777" w:rsidR="00912258" w:rsidRPr="00971DA1" w:rsidRDefault="00912258" w:rsidP="002B3750">
      <w:pPr>
        <w:tabs>
          <w:tab w:val="left" w:pos="284"/>
        </w:tabs>
        <w:ind w:left="284"/>
        <w:rPr>
          <w:rFonts w:cs="Arial"/>
        </w:rPr>
      </w:pPr>
      <w:r w:rsidRPr="00971DA1">
        <w:rPr>
          <w:rFonts w:cs="Arial"/>
        </w:rPr>
        <w:t xml:space="preserve">Sarcomatoid </w:t>
      </w:r>
    </w:p>
    <w:p w14:paraId="00D7A62C" w14:textId="77777777" w:rsidR="00912258" w:rsidRPr="00971DA1" w:rsidRDefault="00912258" w:rsidP="002B3750">
      <w:pPr>
        <w:tabs>
          <w:tab w:val="left" w:pos="284"/>
        </w:tabs>
        <w:rPr>
          <w:rFonts w:cs="Arial"/>
        </w:rPr>
      </w:pPr>
      <w:r w:rsidRPr="00971DA1">
        <w:rPr>
          <w:rFonts w:cs="Arial"/>
        </w:rPr>
        <w:t>Ductal adenocarcinoma</w:t>
      </w:r>
    </w:p>
    <w:p w14:paraId="6C0E8C6C" w14:textId="77777777" w:rsidR="00912258" w:rsidRPr="00971DA1" w:rsidRDefault="00912258" w:rsidP="002B3750">
      <w:pPr>
        <w:tabs>
          <w:tab w:val="left" w:pos="284"/>
        </w:tabs>
        <w:ind w:left="284"/>
        <w:rPr>
          <w:rFonts w:cs="Arial"/>
        </w:rPr>
      </w:pPr>
      <w:r w:rsidRPr="00971DA1">
        <w:rPr>
          <w:rFonts w:cs="Arial"/>
        </w:rPr>
        <w:t>Cribriform</w:t>
      </w:r>
    </w:p>
    <w:p w14:paraId="052DEC0C" w14:textId="77777777" w:rsidR="00912258" w:rsidRPr="00971DA1" w:rsidRDefault="00912258" w:rsidP="002B3750">
      <w:pPr>
        <w:tabs>
          <w:tab w:val="left" w:pos="284"/>
        </w:tabs>
        <w:ind w:left="284"/>
        <w:rPr>
          <w:rFonts w:cs="Arial"/>
        </w:rPr>
      </w:pPr>
      <w:r w:rsidRPr="00971DA1">
        <w:rPr>
          <w:rFonts w:cs="Arial"/>
        </w:rPr>
        <w:t>Papillary</w:t>
      </w:r>
    </w:p>
    <w:p w14:paraId="4DC53B16" w14:textId="77777777" w:rsidR="00912258" w:rsidRPr="00971DA1" w:rsidRDefault="00912258" w:rsidP="002B3750">
      <w:pPr>
        <w:tabs>
          <w:tab w:val="left" w:pos="284"/>
        </w:tabs>
        <w:ind w:left="284"/>
        <w:rPr>
          <w:rFonts w:cs="Arial"/>
        </w:rPr>
      </w:pPr>
      <w:r w:rsidRPr="00971DA1">
        <w:rPr>
          <w:rFonts w:cs="Arial"/>
        </w:rPr>
        <w:t>Solid</w:t>
      </w:r>
    </w:p>
    <w:p w14:paraId="227893B6" w14:textId="77777777" w:rsidR="00263C2F" w:rsidRDefault="00263C2F" w:rsidP="002B3750">
      <w:pPr>
        <w:tabs>
          <w:tab w:val="left" w:pos="284"/>
        </w:tabs>
        <w:rPr>
          <w:rFonts w:cs="Arial"/>
        </w:rPr>
      </w:pPr>
      <w:r>
        <w:rPr>
          <w:rFonts w:cs="Arial"/>
        </w:rPr>
        <w:t>Neuroendocrine tumors</w:t>
      </w:r>
    </w:p>
    <w:p w14:paraId="06C762FF" w14:textId="77777777" w:rsidR="00912258" w:rsidRDefault="00912258" w:rsidP="002B3750">
      <w:pPr>
        <w:tabs>
          <w:tab w:val="left" w:pos="284"/>
        </w:tabs>
        <w:rPr>
          <w:rFonts w:cs="Arial"/>
        </w:rPr>
      </w:pPr>
      <w:r w:rsidRPr="00971DA1">
        <w:rPr>
          <w:rFonts w:cs="Arial"/>
        </w:rPr>
        <w:t>Adenocarcinoma with neuroendocrine differentiation</w:t>
      </w:r>
    </w:p>
    <w:p w14:paraId="2A2D74C1" w14:textId="77777777" w:rsidR="00263C2F" w:rsidRDefault="00263C2F" w:rsidP="002B3750">
      <w:pPr>
        <w:tabs>
          <w:tab w:val="left" w:pos="284"/>
        </w:tabs>
        <w:rPr>
          <w:rFonts w:cs="Arial"/>
        </w:rPr>
      </w:pPr>
      <w:r>
        <w:rPr>
          <w:rFonts w:cs="Arial"/>
        </w:rPr>
        <w:t>Well-differentiated neuroendocrine tumor</w:t>
      </w:r>
    </w:p>
    <w:p w14:paraId="2CE4D8B8" w14:textId="77777777" w:rsidR="00263C2F" w:rsidRDefault="00263C2F" w:rsidP="002B3750">
      <w:pPr>
        <w:tabs>
          <w:tab w:val="left" w:pos="284"/>
        </w:tabs>
        <w:rPr>
          <w:rFonts w:cs="Arial"/>
        </w:rPr>
      </w:pPr>
      <w:r>
        <w:rPr>
          <w:rFonts w:cs="Arial"/>
        </w:rPr>
        <w:t>Small-cell neuroendocrine carcinoma</w:t>
      </w:r>
    </w:p>
    <w:p w14:paraId="625AE50E" w14:textId="77777777" w:rsidR="00263C2F" w:rsidRPr="00971DA1" w:rsidRDefault="00263C2F" w:rsidP="002B3750">
      <w:pPr>
        <w:tabs>
          <w:tab w:val="left" w:pos="284"/>
        </w:tabs>
        <w:rPr>
          <w:rFonts w:cs="Arial"/>
        </w:rPr>
      </w:pPr>
      <w:r>
        <w:rPr>
          <w:rFonts w:cs="Arial"/>
        </w:rPr>
        <w:t>Large cell neuroendocrine carcinoma</w:t>
      </w:r>
    </w:p>
    <w:p w14:paraId="54123E99" w14:textId="77777777" w:rsidR="00912258" w:rsidRDefault="00912258" w:rsidP="002B3750"/>
    <w:p w14:paraId="7560D09C" w14:textId="5CE48F39" w:rsidR="008C33DE" w:rsidRPr="00342F88" w:rsidRDefault="008C33DE" w:rsidP="008C33DE">
      <w:r w:rsidRPr="00342F88">
        <w:t>References</w:t>
      </w:r>
      <w:r w:rsidR="007D561C">
        <w:t>:</w:t>
      </w:r>
    </w:p>
    <w:p w14:paraId="082C4487" w14:textId="0D721C31" w:rsidR="008C33DE" w:rsidRDefault="008C33DE" w:rsidP="006E413D">
      <w:pPr>
        <w:pStyle w:val="References"/>
        <w:ind w:left="360" w:hanging="360"/>
      </w:pPr>
      <w:r>
        <w:t>1.</w:t>
      </w:r>
      <w:r>
        <w:tab/>
        <w:t xml:space="preserve">Humphrey P, Amin MB, </w:t>
      </w:r>
      <w:proofErr w:type="spellStart"/>
      <w:r>
        <w:t>Berney</w:t>
      </w:r>
      <w:proofErr w:type="spellEnd"/>
      <w:r>
        <w:t xml:space="preserve"> D, </w:t>
      </w:r>
      <w:proofErr w:type="spellStart"/>
      <w:r>
        <w:t>Billis</w:t>
      </w:r>
      <w:proofErr w:type="spellEnd"/>
      <w:r>
        <w:t xml:space="preserve"> A, et al. Acinar adenocarcinoma. In: </w:t>
      </w:r>
      <w:proofErr w:type="spellStart"/>
      <w:r>
        <w:t>Moch</w:t>
      </w:r>
      <w:proofErr w:type="spellEnd"/>
      <w:r>
        <w:t xml:space="preserve"> H, Humphrey PA, Ulbright T, Reuter VE, eds. </w:t>
      </w:r>
      <w:r w:rsidRPr="0062185C">
        <w:rPr>
          <w:i/>
        </w:rPr>
        <w:t>Pathology and Genetics: Tumors of the Urinary System and Male Genital Organs</w:t>
      </w:r>
      <w:r>
        <w:t>. 4th edition. WHO Classification of Tumors. Zurich, Switzerland: WHO Press; 2015:3-28.</w:t>
      </w:r>
    </w:p>
    <w:p w14:paraId="5FFC8400" w14:textId="77777777" w:rsidR="008C33DE" w:rsidRPr="00261F53" w:rsidRDefault="008C33DE" w:rsidP="002B3750"/>
    <w:p w14:paraId="79C1F5E1" w14:textId="2F541A98" w:rsidR="00AF5698" w:rsidRDefault="00912258" w:rsidP="002B3750">
      <w:pPr>
        <w:pStyle w:val="Heading2"/>
      </w:pPr>
      <w:r>
        <w:t>C</w:t>
      </w:r>
      <w:r w:rsidR="006C4398">
        <w:t>.</w:t>
      </w:r>
      <w:r w:rsidR="00F70FC5">
        <w:t xml:space="preserve"> </w:t>
      </w:r>
      <w:r w:rsidR="00AF5698">
        <w:t>Histologic Grade</w:t>
      </w:r>
    </w:p>
    <w:p w14:paraId="5AF85EBA" w14:textId="2102BBF1" w:rsidR="00797D93" w:rsidRPr="006E413D" w:rsidRDefault="00797D93" w:rsidP="002B3750">
      <w:pPr>
        <w:pStyle w:val="Heading2"/>
        <w:rPr>
          <w:b w:val="0"/>
          <w:u w:val="single"/>
        </w:rPr>
      </w:pPr>
      <w:r w:rsidRPr="006E413D">
        <w:rPr>
          <w:b w:val="0"/>
          <w:u w:val="single"/>
        </w:rPr>
        <w:t>Gleason Score</w:t>
      </w:r>
    </w:p>
    <w:p w14:paraId="0556FC09" w14:textId="138175EF" w:rsidR="00797D93" w:rsidRDefault="00797D93" w:rsidP="002B3750">
      <w:r w:rsidRPr="00261F53">
        <w:t xml:space="preserve">The Gleason grading system is recommended for use in all prostatic specimens containing adenocarcinoma, </w:t>
      </w:r>
      <w:proofErr w:type="gramStart"/>
      <w:r w:rsidRPr="00261F53">
        <w:t>with the exception of</w:t>
      </w:r>
      <w:proofErr w:type="gramEnd"/>
      <w:r w:rsidRPr="00261F53">
        <w:t xml:space="preserve"> those showing treatment effects, usually in the setting of androgen withdrawal</w:t>
      </w:r>
      <w:r w:rsidR="00F23998">
        <w:t xml:space="preserve"> and radiation therapy</w:t>
      </w:r>
      <w:r w:rsidRPr="00261F53">
        <w:t>.</w:t>
      </w:r>
      <w:r w:rsidR="00190221">
        <w:rPr>
          <w:rStyle w:val="Superscript"/>
          <w:rFonts w:cs="Arial"/>
        </w:rPr>
        <w:t>1</w:t>
      </w:r>
      <w:r w:rsidR="00785760" w:rsidRPr="004D35A2">
        <w:rPr>
          <w:rStyle w:val="Superscript"/>
          <w:rFonts w:cs="Arial"/>
        </w:rPr>
        <w:t>,</w:t>
      </w:r>
      <w:r w:rsidR="00190221">
        <w:rPr>
          <w:rStyle w:val="Superscript"/>
          <w:rFonts w:cs="Arial"/>
        </w:rPr>
        <w:t>2</w:t>
      </w:r>
      <w:r w:rsidRPr="00261F53">
        <w:t xml:space="preserve"> </w:t>
      </w:r>
      <w:r w:rsidR="00447F98">
        <w:t xml:space="preserve">The </w:t>
      </w:r>
      <w:r w:rsidRPr="00261F53">
        <w:t xml:space="preserve">Gleason score is an important parameter used in nomograms, such as the </w:t>
      </w:r>
      <w:proofErr w:type="spellStart"/>
      <w:r w:rsidRPr="00261F53">
        <w:t>Kattan</w:t>
      </w:r>
      <w:proofErr w:type="spellEnd"/>
      <w:r w:rsidRPr="00261F53">
        <w:t xml:space="preserve"> nomograms,</w:t>
      </w:r>
      <w:r w:rsidR="00190221">
        <w:rPr>
          <w:vertAlign w:val="superscript"/>
        </w:rPr>
        <w:t>3</w:t>
      </w:r>
      <w:r w:rsidR="00785760">
        <w:rPr>
          <w:vertAlign w:val="superscript"/>
        </w:rPr>
        <w:t>,</w:t>
      </w:r>
      <w:r w:rsidR="00190221">
        <w:rPr>
          <w:vertAlign w:val="superscript"/>
        </w:rPr>
        <w:t>4</w:t>
      </w:r>
      <w:r w:rsidRPr="00261F53">
        <w:t xml:space="preserve"> and the Partin tables,</w:t>
      </w:r>
      <w:r w:rsidR="00190221">
        <w:rPr>
          <w:szCs w:val="22"/>
          <w:vertAlign w:val="superscript"/>
        </w:rPr>
        <w:t>5</w:t>
      </w:r>
      <w:r w:rsidR="00785760" w:rsidRPr="00261F53">
        <w:t xml:space="preserve"> </w:t>
      </w:r>
      <w:r w:rsidRPr="00261F53">
        <w:t xml:space="preserve">which guide individual treatment decisions. Readers are referred to the recommendations of </w:t>
      </w:r>
      <w:r w:rsidR="005E2FC8">
        <w:t xml:space="preserve">2 </w:t>
      </w:r>
      <w:r w:rsidR="00EF6F84">
        <w:t>ISUP</w:t>
      </w:r>
      <w:r w:rsidRPr="00261F53">
        <w:t xml:space="preserve"> consensus conference</w:t>
      </w:r>
      <w:r w:rsidR="00EF6F84">
        <w:t>s</w:t>
      </w:r>
      <w:r w:rsidRPr="00261F53">
        <w:t xml:space="preserve"> dealing with the contemporary usage of the Gleason system</w:t>
      </w:r>
      <w:r w:rsidR="00D41E34">
        <w:t xml:space="preserve"> (also see Figure </w:t>
      </w:r>
      <w:r w:rsidR="002B3750">
        <w:t>1</w:t>
      </w:r>
      <w:r w:rsidR="00EC6651">
        <w:t>)</w:t>
      </w:r>
      <w:r w:rsidRPr="00261F53">
        <w:t>.</w:t>
      </w:r>
      <w:r w:rsidR="00190221">
        <w:rPr>
          <w:vertAlign w:val="superscript"/>
        </w:rPr>
        <w:t>6</w:t>
      </w:r>
      <w:r w:rsidR="00785760">
        <w:rPr>
          <w:vertAlign w:val="superscript"/>
        </w:rPr>
        <w:t>,</w:t>
      </w:r>
      <w:r w:rsidR="00190221">
        <w:rPr>
          <w:vertAlign w:val="superscript"/>
        </w:rPr>
        <w:t>7</w:t>
      </w:r>
      <w:r w:rsidR="00785760" w:rsidRPr="00261F53">
        <w:t xml:space="preserve"> </w:t>
      </w:r>
      <w:r w:rsidRPr="00261F53">
        <w:t xml:space="preserve">The Gleason score is the sum of the primary (most predominant in terms of surface area of involvement) Gleason grade and the secondary (second most predominant) Gleason grade. Where no secondary Gleason grade exists, the primary Gleason grade is doubled to arrive at a Gleason score. The primary and secondary grades should be reported in addition to the Gleason score, that is, Gleason score 7(3+4) or 7(3+4). </w:t>
      </w:r>
      <w:r w:rsidR="007059F6">
        <w:t>In needle biopsy specimens, Gleason score is the sum of the primary (most predominant) Gleason grade and highest Gleason grade.</w:t>
      </w:r>
    </w:p>
    <w:p w14:paraId="73637D8C" w14:textId="77777777" w:rsidR="00EC6651" w:rsidRPr="00261F53" w:rsidRDefault="00EC6651" w:rsidP="002B3750">
      <w:r>
        <w:rPr>
          <w:noProof/>
        </w:rPr>
        <w:drawing>
          <wp:inline distT="0" distB="0" distL="0" distR="0" wp14:anchorId="3589D2B0" wp14:editId="03647F36">
            <wp:extent cx="2098622" cy="3015051"/>
            <wp:effectExtent l="0" t="0" r="10160" b="7620"/>
            <wp:docPr id="32770" name="Picture 2" descr="C:\Users\jsrigley\Desktop\Work Space\Shanghai Material\Gleason re-revised final gray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descr="C:\Users\jsrigley\Desktop\Work Space\Shanghai Material\Gleason re-revised final grayscal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2241" cy="3020251"/>
                    </a:xfrm>
                    <a:prstGeom prst="rect">
                      <a:avLst/>
                    </a:prstGeom>
                    <a:noFill/>
                    <a:ln>
                      <a:noFill/>
                    </a:ln>
                    <a:extLst/>
                  </pic:spPr>
                </pic:pic>
              </a:graphicData>
            </a:graphic>
          </wp:inline>
        </w:drawing>
      </w:r>
    </w:p>
    <w:p w14:paraId="4AD44E2F" w14:textId="5DA6D488" w:rsidR="00797D93" w:rsidRDefault="00EC6651" w:rsidP="002B3750">
      <w:pPr>
        <w:spacing w:before="120"/>
      </w:pPr>
      <w:r w:rsidRPr="002B3750">
        <w:rPr>
          <w:b/>
        </w:rPr>
        <w:t xml:space="preserve">Figure </w:t>
      </w:r>
      <w:r w:rsidR="002B3750" w:rsidRPr="002B3750">
        <w:rPr>
          <w:b/>
        </w:rPr>
        <w:t>1.</w:t>
      </w:r>
      <w:r>
        <w:t xml:space="preserve"> 2015 modified ISUP Gleason schematic diagram.</w:t>
      </w:r>
      <w:r w:rsidR="00190221">
        <w:rPr>
          <w:vertAlign w:val="superscript"/>
        </w:rPr>
        <w:t>7</w:t>
      </w:r>
    </w:p>
    <w:p w14:paraId="4DC83152" w14:textId="77777777" w:rsidR="00EC6651" w:rsidRPr="00261F53" w:rsidRDefault="00EC6651" w:rsidP="002B3750"/>
    <w:p w14:paraId="29D31838" w14:textId="44ECB8BE" w:rsidR="00797D93" w:rsidRDefault="00650CC5" w:rsidP="002B3750">
      <w:r>
        <w:t xml:space="preserve">In TURP specimens, where </w:t>
      </w:r>
      <w:r w:rsidR="00797D93" w:rsidRPr="00261F53">
        <w:t>there is a minor secondary component (</w:t>
      </w:r>
      <w:r w:rsidR="007D561C">
        <w:t xml:space="preserve">less than </w:t>
      </w:r>
      <w:r w:rsidR="00797D93" w:rsidRPr="00261F53">
        <w:t xml:space="preserve">5% of tumor) and where the secondary component is of higher grade, the latter should be reported. For instance, a case showing more than 95% Gleason </w:t>
      </w:r>
      <w:r w:rsidR="005671CD">
        <w:t xml:space="preserve">pattern </w:t>
      </w:r>
      <w:r w:rsidR="00797D93" w:rsidRPr="00261F53">
        <w:t xml:space="preserve">3 and less than 5% Gleason </w:t>
      </w:r>
      <w:r w:rsidR="005671CD">
        <w:t xml:space="preserve">pattern </w:t>
      </w:r>
      <w:r w:rsidR="00797D93" w:rsidRPr="00261F53">
        <w:t xml:space="preserve">4 should be reported as Gleason score 7(3+4). Conversely, if a minor secondary pattern is of lower grade, it need not be reported. For instance, where there is greater than 95% Gleason </w:t>
      </w:r>
      <w:r w:rsidR="00F70FC5">
        <w:t>pattern</w:t>
      </w:r>
      <w:r w:rsidR="005671CD" w:rsidRPr="00261F53">
        <w:t xml:space="preserve"> </w:t>
      </w:r>
      <w:r w:rsidR="00797D93" w:rsidRPr="00261F53">
        <w:t xml:space="preserve">4 and less than 5% Gleason </w:t>
      </w:r>
      <w:r w:rsidR="005671CD">
        <w:t xml:space="preserve">pattern </w:t>
      </w:r>
      <w:r w:rsidR="00797D93" w:rsidRPr="00261F53">
        <w:t xml:space="preserve">3, the score should be reported as Gleason </w:t>
      </w:r>
      <w:r w:rsidR="005671CD">
        <w:t xml:space="preserve">score </w:t>
      </w:r>
      <w:r w:rsidR="00797D93" w:rsidRPr="00261F53">
        <w:t>8(4+4).</w:t>
      </w:r>
      <w:r w:rsidR="00EF6F84">
        <w:t xml:space="preserve"> </w:t>
      </w:r>
    </w:p>
    <w:p w14:paraId="2254DE82" w14:textId="77777777" w:rsidR="00CE3447" w:rsidRPr="00261F53" w:rsidRDefault="00CE3447" w:rsidP="002B3750"/>
    <w:p w14:paraId="2CE8E39D" w14:textId="54E076F9" w:rsidR="00EF6F84" w:rsidRPr="00EF6F84" w:rsidRDefault="00650CC5" w:rsidP="002B3750">
      <w:pPr>
        <w:rPr>
          <w:szCs w:val="22"/>
        </w:rPr>
      </w:pPr>
      <w:r>
        <w:t xml:space="preserve">In TURP </w:t>
      </w:r>
      <w:r w:rsidR="00797D93" w:rsidRPr="00261F53">
        <w:t xml:space="preserve">specimens where more than 2 patterns are present, and the worst grade is neither the predominant nor the secondary grade, the predominant and highest grade should be chosen to arrive at a score (eg, 75% </w:t>
      </w:r>
      <w:r w:rsidR="005671CD">
        <w:t>pattern</w:t>
      </w:r>
      <w:r w:rsidR="005671CD" w:rsidRPr="00261F53">
        <w:t xml:space="preserve"> </w:t>
      </w:r>
      <w:r w:rsidR="00797D93" w:rsidRPr="00261F53">
        <w:t>3</w:t>
      </w:r>
      <w:r w:rsidR="005E2FC8">
        <w:t>, 20-</w:t>
      </w:r>
      <w:r w:rsidR="00797D93" w:rsidRPr="00261F53">
        <w:t xml:space="preserve">25% </w:t>
      </w:r>
      <w:r w:rsidR="005671CD">
        <w:t>pattern</w:t>
      </w:r>
      <w:r w:rsidR="005671CD" w:rsidRPr="00261F53">
        <w:t xml:space="preserve"> </w:t>
      </w:r>
      <w:r w:rsidR="00797D93" w:rsidRPr="00261F53">
        <w:t>4</w:t>
      </w:r>
      <w:r w:rsidR="005E2FC8">
        <w:t>,</w:t>
      </w:r>
      <w:r w:rsidR="00797D93" w:rsidRPr="00261F53">
        <w:t xml:space="preserve"> </w:t>
      </w:r>
      <w:r w:rsidR="007D561C">
        <w:t xml:space="preserve">less than </w:t>
      </w:r>
      <w:r w:rsidR="00797D93" w:rsidRPr="00261F53">
        <w:t xml:space="preserve">5% </w:t>
      </w:r>
      <w:r w:rsidR="005671CD">
        <w:t>pattern</w:t>
      </w:r>
      <w:r w:rsidR="005671CD" w:rsidRPr="00261F53">
        <w:t xml:space="preserve"> </w:t>
      </w:r>
      <w:r w:rsidR="00F70FC5">
        <w:t xml:space="preserve">5 is scored as 3+5=8). </w:t>
      </w:r>
      <w:r w:rsidR="00797D93" w:rsidRPr="00261F53">
        <w:t>This approach has been validated in a large clinical series.</w:t>
      </w:r>
      <w:r w:rsidR="00190221">
        <w:rPr>
          <w:szCs w:val="22"/>
          <w:vertAlign w:val="superscript"/>
        </w:rPr>
        <w:t>9</w:t>
      </w:r>
      <w:r w:rsidR="00785760">
        <w:rPr>
          <w:szCs w:val="22"/>
        </w:rPr>
        <w:t xml:space="preserve"> </w:t>
      </w:r>
      <w:r w:rsidR="00EF6F84" w:rsidRPr="00EF6F84">
        <w:rPr>
          <w:szCs w:val="22"/>
        </w:rPr>
        <w:t xml:space="preserve">The above rules </w:t>
      </w:r>
      <w:r w:rsidR="00447F98">
        <w:rPr>
          <w:szCs w:val="22"/>
        </w:rPr>
        <w:t>apply</w:t>
      </w:r>
      <w:r w:rsidR="00EF6F84" w:rsidRPr="00EF6F84">
        <w:rPr>
          <w:szCs w:val="22"/>
        </w:rPr>
        <w:t xml:space="preserve"> to both specimen-level and case-level reporting.</w:t>
      </w:r>
    </w:p>
    <w:p w14:paraId="7D70D553" w14:textId="77777777" w:rsidR="00797D93" w:rsidRPr="00261F53" w:rsidRDefault="00797D93" w:rsidP="002B3750"/>
    <w:p w14:paraId="46F17CBA" w14:textId="431B77FF" w:rsidR="00912258" w:rsidRDefault="00912258" w:rsidP="002B3750">
      <w:pPr>
        <w:pStyle w:val="Heading2"/>
      </w:pPr>
      <w:r w:rsidRPr="006E413D">
        <w:rPr>
          <w:b w:val="0"/>
          <w:u w:val="single"/>
        </w:rPr>
        <w:lastRenderedPageBreak/>
        <w:t>Grade Group</w:t>
      </w:r>
    </w:p>
    <w:p w14:paraId="394AD78B" w14:textId="7F2CABB3" w:rsidR="00447F98" w:rsidRPr="000B6ACC" w:rsidRDefault="00EF6F84" w:rsidP="002B3750">
      <w:r>
        <w:t xml:space="preserve">The </w:t>
      </w:r>
      <w:r w:rsidR="000B6ACC">
        <w:t>9 Gleason scores (2-</w:t>
      </w:r>
      <w:r w:rsidR="00CB37FC">
        <w:t>10</w:t>
      </w:r>
      <w:r w:rsidR="000B6ACC">
        <w:t xml:space="preserve">) </w:t>
      </w:r>
      <w:r w:rsidR="007A31CD">
        <w:t xml:space="preserve">have been </w:t>
      </w:r>
      <w:r w:rsidR="000B6ACC">
        <w:t xml:space="preserve">variably lumped into different groups for prognosis and patient management purposes. </w:t>
      </w:r>
      <w:r w:rsidR="00144CDB">
        <w:t xml:space="preserve">Epstein </w:t>
      </w:r>
      <w:r w:rsidR="005671CD">
        <w:t>and associates</w:t>
      </w:r>
      <w:r w:rsidR="00144CDB">
        <w:t xml:space="preserve"> </w:t>
      </w:r>
      <w:r w:rsidR="000B6ACC">
        <w:t xml:space="preserve">proposed </w:t>
      </w:r>
      <w:r>
        <w:t xml:space="preserve">grouping scores </w:t>
      </w:r>
      <w:r w:rsidR="00447F98">
        <w:t xml:space="preserve">into </w:t>
      </w:r>
      <w:r w:rsidR="000B6ACC">
        <w:t xml:space="preserve">5 </w:t>
      </w:r>
      <w:r w:rsidR="00447F98">
        <w:t>prognostic categories</w:t>
      </w:r>
      <w:r w:rsidR="000B6ACC">
        <w:t>, grade group</w:t>
      </w:r>
      <w:r w:rsidR="00236672">
        <w:t>s</w:t>
      </w:r>
      <w:r w:rsidR="000B6ACC">
        <w:t xml:space="preserve"> 1-5.</w:t>
      </w:r>
      <w:r w:rsidR="000F623D" w:rsidRPr="000F623D">
        <w:rPr>
          <w:vertAlign w:val="superscript"/>
        </w:rPr>
        <w:t>1</w:t>
      </w:r>
      <w:r w:rsidR="006938D4">
        <w:rPr>
          <w:vertAlign w:val="superscript"/>
        </w:rPr>
        <w:t>0</w:t>
      </w:r>
      <w:r w:rsidR="000B6ACC">
        <w:t xml:space="preserve"> </w:t>
      </w:r>
      <w:r>
        <w:t>Th</w:t>
      </w:r>
      <w:r w:rsidR="00745920">
        <w:t>is</w:t>
      </w:r>
      <w:r>
        <w:t xml:space="preserve"> </w:t>
      </w:r>
      <w:r w:rsidR="0004368B">
        <w:t>grade</w:t>
      </w:r>
      <w:r>
        <w:t xml:space="preserve"> </w:t>
      </w:r>
      <w:r w:rsidR="00785760">
        <w:t>group</w:t>
      </w:r>
      <w:r w:rsidR="00745920">
        <w:t>ing</w:t>
      </w:r>
      <w:r w:rsidR="000B6ACC">
        <w:t>,</w:t>
      </w:r>
      <w:r>
        <w:t xml:space="preserve"> shown </w:t>
      </w:r>
      <w:r w:rsidR="00785760">
        <w:t>below</w:t>
      </w:r>
      <w:r w:rsidR="000B6ACC">
        <w:t xml:space="preserve"> in the table, </w:t>
      </w:r>
      <w:r w:rsidR="00447F98">
        <w:t xml:space="preserve">strongly </w:t>
      </w:r>
      <w:r>
        <w:t xml:space="preserve">correlate with biochemical </w:t>
      </w:r>
      <w:r w:rsidR="0004368B">
        <w:t>recurrence</w:t>
      </w:r>
      <w:r w:rsidR="00785760">
        <w:t xml:space="preserve"> and have been incorporated into the new </w:t>
      </w:r>
      <w:r w:rsidR="00D25389">
        <w:t>P</w:t>
      </w:r>
      <w:r w:rsidR="00785760">
        <w:t>artin tables</w:t>
      </w:r>
      <w:r>
        <w:t>.</w:t>
      </w:r>
      <w:r w:rsidR="008A72D1">
        <w:rPr>
          <w:vertAlign w:val="superscript"/>
        </w:rPr>
        <w:t>10-12</w:t>
      </w:r>
      <w:r>
        <w:t xml:space="preserve"> At the 2014 ISUP Consensus Conference, details of this </w:t>
      </w:r>
      <w:r w:rsidR="00447F98">
        <w:t xml:space="preserve">prognostic </w:t>
      </w:r>
      <w:r>
        <w:t>system w</w:t>
      </w:r>
      <w:r w:rsidR="00400362">
        <w:t>ere</w:t>
      </w:r>
      <w:r>
        <w:t xml:space="preserve"> clarified and it was </w:t>
      </w:r>
      <w:r w:rsidR="004B1F7C">
        <w:t>recommended</w:t>
      </w:r>
      <w:r>
        <w:t xml:space="preserve"> for usage</w:t>
      </w:r>
      <w:r w:rsidR="000B6ACC">
        <w:t xml:space="preserve"> together with the Gleason system</w:t>
      </w:r>
      <w:r>
        <w:t>.</w:t>
      </w:r>
      <w:r w:rsidR="008A72D1">
        <w:rPr>
          <w:vertAlign w:val="superscript"/>
        </w:rPr>
        <w:t>7</w:t>
      </w:r>
      <w:r>
        <w:t xml:space="preserve"> </w:t>
      </w:r>
      <w:r w:rsidR="00D34790">
        <w:t>This grade grouping has also been s</w:t>
      </w:r>
      <w:r>
        <w:t>ubsequent</w:t>
      </w:r>
      <w:r w:rsidR="00D34790">
        <w:t>ly validated by other independent studies</w:t>
      </w:r>
      <w:r>
        <w:t xml:space="preserve"> in </w:t>
      </w:r>
      <w:r w:rsidR="00400362">
        <w:t xml:space="preserve">surgical and radiation </w:t>
      </w:r>
      <w:r>
        <w:t>cohorts show significant correlation with survival.</w:t>
      </w:r>
      <w:r w:rsidR="008A72D1">
        <w:rPr>
          <w:vertAlign w:val="superscript"/>
        </w:rPr>
        <w:t>13-15</w:t>
      </w:r>
      <w:r>
        <w:t xml:space="preserve"> </w:t>
      </w:r>
      <w:r w:rsidR="00400362">
        <w:t xml:space="preserve"> </w:t>
      </w:r>
      <w:r w:rsidR="004B1F7C">
        <w:t xml:space="preserve">The </w:t>
      </w:r>
      <w:r w:rsidR="0004368B">
        <w:t>new</w:t>
      </w:r>
      <w:r w:rsidR="004B1F7C">
        <w:t xml:space="preserve"> </w:t>
      </w:r>
      <w:r w:rsidR="00D34790">
        <w:t xml:space="preserve">grade </w:t>
      </w:r>
      <w:r w:rsidR="004B1F7C">
        <w:t xml:space="preserve">grouping </w:t>
      </w:r>
      <w:r w:rsidR="0004368B">
        <w:t>ha</w:t>
      </w:r>
      <w:r w:rsidR="00D34790">
        <w:t>s</w:t>
      </w:r>
      <w:r w:rsidR="004B1F7C">
        <w:t xml:space="preserve"> been endorsed in the 2016 WHO </w:t>
      </w:r>
      <w:r w:rsidR="005E2FC8">
        <w:t>classification</w:t>
      </w:r>
      <w:r w:rsidR="004B1F7C">
        <w:t>.</w:t>
      </w:r>
      <w:r w:rsidR="008A72D1">
        <w:rPr>
          <w:vertAlign w:val="superscript"/>
        </w:rPr>
        <w:t>1</w:t>
      </w:r>
    </w:p>
    <w:p w14:paraId="073BBF86" w14:textId="77777777" w:rsidR="00447F98" w:rsidRDefault="00447F98" w:rsidP="002B3750"/>
    <w:p w14:paraId="1A2F2ADC" w14:textId="77777777" w:rsidR="00EF6F84" w:rsidRDefault="00D34790" w:rsidP="002B3750">
      <w:r>
        <w:t>The grade grouping has also been endorsed by ISUP and is referred to as I</w:t>
      </w:r>
      <w:r w:rsidR="00237677">
        <w:t>SUP grade in some publications.</w:t>
      </w:r>
      <w:r w:rsidR="00EF6F84">
        <w:t xml:space="preserve"> Like Gleason scoring</w:t>
      </w:r>
      <w:r w:rsidR="00D25389">
        <w:t xml:space="preserve"> in nee</w:t>
      </w:r>
      <w:r w:rsidR="00785760">
        <w:t>dle biopsies</w:t>
      </w:r>
      <w:r w:rsidR="00EF6F84">
        <w:t>, the grade group can be applied at core, specimen</w:t>
      </w:r>
      <w:r w:rsidR="005E2FC8">
        <w:t>,</w:t>
      </w:r>
      <w:r w:rsidR="00EF6F84">
        <w:t xml:space="preserve"> or case levels. </w:t>
      </w:r>
      <w:r w:rsidR="00400362">
        <w:t xml:space="preserve"> </w:t>
      </w:r>
    </w:p>
    <w:p w14:paraId="66AAECD3" w14:textId="77777777" w:rsidR="00004F97" w:rsidRDefault="00004F97" w:rsidP="002B3750"/>
    <w:p w14:paraId="17971293" w14:textId="77777777" w:rsidR="00DD092D" w:rsidRPr="00013ED4" w:rsidRDefault="00004F97" w:rsidP="002B3750">
      <w:pPr>
        <w:rPr>
          <w:b/>
        </w:rPr>
      </w:pPr>
      <w:r>
        <w:rPr>
          <w:b/>
        </w:rPr>
        <w:t>Table: Grade Groups</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3"/>
        <w:gridCol w:w="1721"/>
        <w:gridCol w:w="5103"/>
      </w:tblGrid>
      <w:tr w:rsidR="00DD092D" w:rsidRPr="00BD0ACF" w14:paraId="5DE15BFE" w14:textId="77777777" w:rsidTr="00BA115E">
        <w:trPr>
          <w:trHeight w:val="710"/>
        </w:trPr>
        <w:tc>
          <w:tcPr>
            <w:tcW w:w="1823" w:type="dxa"/>
            <w:shd w:val="clear" w:color="auto" w:fill="D9D9D9" w:themeFill="background1" w:themeFillShade="D9"/>
            <w:vAlign w:val="center"/>
          </w:tcPr>
          <w:p w14:paraId="19B044E1" w14:textId="77777777" w:rsidR="00EF6F84" w:rsidRPr="00BD0ACF" w:rsidRDefault="00EF6F84" w:rsidP="002B3750">
            <w:pPr>
              <w:rPr>
                <w:b/>
              </w:rPr>
            </w:pPr>
            <w:r>
              <w:rPr>
                <w:b/>
              </w:rPr>
              <w:t>G</w:t>
            </w:r>
            <w:r w:rsidR="00DD092D" w:rsidRPr="00BD0ACF">
              <w:rPr>
                <w:b/>
              </w:rPr>
              <w:t>rade</w:t>
            </w:r>
            <w:r w:rsidR="005E2FC8">
              <w:rPr>
                <w:b/>
              </w:rPr>
              <w:t xml:space="preserve"> G</w:t>
            </w:r>
            <w:r>
              <w:rPr>
                <w:b/>
              </w:rPr>
              <w:t>roup</w:t>
            </w:r>
          </w:p>
        </w:tc>
        <w:tc>
          <w:tcPr>
            <w:tcW w:w="1721" w:type="dxa"/>
            <w:shd w:val="clear" w:color="auto" w:fill="D9D9D9" w:themeFill="background1" w:themeFillShade="D9"/>
            <w:vAlign w:val="center"/>
          </w:tcPr>
          <w:p w14:paraId="1A4F3D6A" w14:textId="77777777" w:rsidR="00DD092D" w:rsidRPr="00BD0ACF" w:rsidRDefault="005E2FC8" w:rsidP="002B3750">
            <w:pPr>
              <w:rPr>
                <w:b/>
              </w:rPr>
            </w:pPr>
            <w:r>
              <w:rPr>
                <w:b/>
              </w:rPr>
              <w:t>Gleason S</w:t>
            </w:r>
            <w:r w:rsidR="00DD092D" w:rsidRPr="00BD0ACF">
              <w:rPr>
                <w:b/>
              </w:rPr>
              <w:t>core</w:t>
            </w:r>
          </w:p>
        </w:tc>
        <w:tc>
          <w:tcPr>
            <w:tcW w:w="5103" w:type="dxa"/>
            <w:shd w:val="clear" w:color="auto" w:fill="D9D9D9" w:themeFill="background1" w:themeFillShade="D9"/>
            <w:vAlign w:val="center"/>
          </w:tcPr>
          <w:p w14:paraId="6CF3BE88" w14:textId="77777777" w:rsidR="00DD092D" w:rsidRPr="00BD0ACF" w:rsidRDefault="00DD092D" w:rsidP="002B3750">
            <w:pPr>
              <w:rPr>
                <w:b/>
              </w:rPr>
            </w:pPr>
            <w:r w:rsidRPr="00BD0ACF">
              <w:rPr>
                <w:b/>
              </w:rPr>
              <w:t>Definition</w:t>
            </w:r>
          </w:p>
        </w:tc>
      </w:tr>
      <w:tr w:rsidR="00DD092D" w14:paraId="542742DD" w14:textId="77777777" w:rsidTr="00BA115E">
        <w:trPr>
          <w:trHeight w:val="638"/>
        </w:trPr>
        <w:tc>
          <w:tcPr>
            <w:tcW w:w="1823" w:type="dxa"/>
            <w:vAlign w:val="center"/>
          </w:tcPr>
          <w:p w14:paraId="29931164" w14:textId="77777777" w:rsidR="00DD092D" w:rsidRDefault="00DD092D" w:rsidP="002B3750">
            <w:r>
              <w:t>1</w:t>
            </w:r>
          </w:p>
        </w:tc>
        <w:tc>
          <w:tcPr>
            <w:tcW w:w="1721" w:type="dxa"/>
            <w:vAlign w:val="center"/>
          </w:tcPr>
          <w:p w14:paraId="0A0EF54F" w14:textId="7D160552" w:rsidR="00DD092D" w:rsidRDefault="007D561C" w:rsidP="002B3750">
            <w:r>
              <w:t xml:space="preserve">Less than or equal to </w:t>
            </w:r>
            <w:r w:rsidR="00DD092D">
              <w:t>6</w:t>
            </w:r>
          </w:p>
        </w:tc>
        <w:tc>
          <w:tcPr>
            <w:tcW w:w="5103" w:type="dxa"/>
            <w:vAlign w:val="center"/>
          </w:tcPr>
          <w:p w14:paraId="7AE59237" w14:textId="77777777" w:rsidR="00DD092D" w:rsidRPr="005E2FC8" w:rsidRDefault="00DD092D" w:rsidP="002B3750">
            <w:pPr>
              <w:rPr>
                <w:rFonts w:cs="Arial"/>
              </w:rPr>
            </w:pPr>
            <w:r w:rsidRPr="005E2FC8">
              <w:rPr>
                <w:rFonts w:cs="Arial"/>
                <w:bCs/>
              </w:rPr>
              <w:t>Only individual discrete well-formed glands</w:t>
            </w:r>
          </w:p>
        </w:tc>
      </w:tr>
      <w:tr w:rsidR="00DD092D" w14:paraId="5135765F" w14:textId="77777777" w:rsidTr="00BA115E">
        <w:trPr>
          <w:trHeight w:val="710"/>
        </w:trPr>
        <w:tc>
          <w:tcPr>
            <w:tcW w:w="1823" w:type="dxa"/>
            <w:vAlign w:val="center"/>
          </w:tcPr>
          <w:p w14:paraId="013CEDEF" w14:textId="77777777" w:rsidR="00DD092D" w:rsidRDefault="00DD092D" w:rsidP="002B3750">
            <w:r>
              <w:t>2</w:t>
            </w:r>
          </w:p>
        </w:tc>
        <w:tc>
          <w:tcPr>
            <w:tcW w:w="1721" w:type="dxa"/>
            <w:vAlign w:val="center"/>
          </w:tcPr>
          <w:p w14:paraId="19808E8B" w14:textId="77777777" w:rsidR="00DD092D" w:rsidRDefault="00DD092D" w:rsidP="002B3750">
            <w:r>
              <w:t>3+4=7</w:t>
            </w:r>
          </w:p>
        </w:tc>
        <w:tc>
          <w:tcPr>
            <w:tcW w:w="5103" w:type="dxa"/>
            <w:vAlign w:val="center"/>
          </w:tcPr>
          <w:p w14:paraId="73E91E1F" w14:textId="77777777" w:rsidR="00DD092D" w:rsidRPr="005E2FC8" w:rsidRDefault="00DD092D" w:rsidP="002B3750">
            <w:pPr>
              <w:rPr>
                <w:rFonts w:cs="Arial"/>
              </w:rPr>
            </w:pPr>
            <w:r w:rsidRPr="005E2FC8">
              <w:rPr>
                <w:rFonts w:cs="Arial"/>
                <w:bCs/>
              </w:rPr>
              <w:t xml:space="preserve">Predominantly well-formed glands with lesser component </w:t>
            </w:r>
            <w:r w:rsidR="005E2FC8">
              <w:rPr>
                <w:rFonts w:cs="Arial"/>
                <w:bCs/>
              </w:rPr>
              <w:t xml:space="preserve">of poorly </w:t>
            </w:r>
            <w:r w:rsidRPr="005E2FC8">
              <w:rPr>
                <w:rFonts w:cs="Arial"/>
                <w:bCs/>
              </w:rPr>
              <w:t>formed/fused/cribriform glands</w:t>
            </w:r>
          </w:p>
        </w:tc>
      </w:tr>
      <w:tr w:rsidR="00DD092D" w14:paraId="42516194" w14:textId="77777777" w:rsidTr="00BA115E">
        <w:trPr>
          <w:trHeight w:val="710"/>
        </w:trPr>
        <w:tc>
          <w:tcPr>
            <w:tcW w:w="1823" w:type="dxa"/>
            <w:vAlign w:val="center"/>
          </w:tcPr>
          <w:p w14:paraId="0B0AFA59" w14:textId="77777777" w:rsidR="00DD092D" w:rsidRDefault="00DD092D" w:rsidP="002B3750">
            <w:r>
              <w:t>3</w:t>
            </w:r>
          </w:p>
        </w:tc>
        <w:tc>
          <w:tcPr>
            <w:tcW w:w="1721" w:type="dxa"/>
            <w:vAlign w:val="center"/>
          </w:tcPr>
          <w:p w14:paraId="3F32E805" w14:textId="77777777" w:rsidR="00DD092D" w:rsidRDefault="00DD092D" w:rsidP="002B3750">
            <w:r>
              <w:t>4+3=7</w:t>
            </w:r>
          </w:p>
        </w:tc>
        <w:tc>
          <w:tcPr>
            <w:tcW w:w="5103" w:type="dxa"/>
            <w:vAlign w:val="center"/>
          </w:tcPr>
          <w:p w14:paraId="1EFBF0CB" w14:textId="77777777" w:rsidR="00DD092D" w:rsidRPr="005E2FC8" w:rsidRDefault="005E2FC8" w:rsidP="00B628DF">
            <w:pPr>
              <w:rPr>
                <w:rFonts w:cs="Arial"/>
              </w:rPr>
            </w:pPr>
            <w:r>
              <w:rPr>
                <w:rFonts w:cs="Arial"/>
                <w:bCs/>
              </w:rPr>
              <w:t xml:space="preserve">Predominantly poorly </w:t>
            </w:r>
            <w:r w:rsidR="00DD092D" w:rsidRPr="005E2FC8">
              <w:rPr>
                <w:rFonts w:cs="Arial"/>
                <w:bCs/>
              </w:rPr>
              <w:t>formed/fused/cribriform glands with lesser component (</w:t>
            </w:r>
            <w:r w:rsidR="00B628DF" w:rsidRPr="00B628DF">
              <w:rPr>
                <w:rFonts w:cs="Arial"/>
                <w:bCs/>
                <w:vertAlign w:val="superscript"/>
              </w:rPr>
              <w:t>#</w:t>
            </w:r>
            <w:r w:rsidR="00DD092D" w:rsidRPr="005E2FC8">
              <w:rPr>
                <w:rFonts w:cs="Arial"/>
                <w:bCs/>
              </w:rPr>
              <w:t>) of well-formed glands</w:t>
            </w:r>
          </w:p>
        </w:tc>
      </w:tr>
      <w:tr w:rsidR="00DD092D" w14:paraId="2F2408A3" w14:textId="77777777" w:rsidTr="00BA115E">
        <w:trPr>
          <w:trHeight w:val="530"/>
        </w:trPr>
        <w:tc>
          <w:tcPr>
            <w:tcW w:w="1823" w:type="dxa"/>
            <w:vMerge w:val="restart"/>
            <w:vAlign w:val="center"/>
          </w:tcPr>
          <w:p w14:paraId="47194FB2" w14:textId="77777777" w:rsidR="00DD092D" w:rsidRDefault="00DD092D" w:rsidP="002B3750">
            <w:r>
              <w:t>4</w:t>
            </w:r>
          </w:p>
        </w:tc>
        <w:tc>
          <w:tcPr>
            <w:tcW w:w="1721" w:type="dxa"/>
            <w:vAlign w:val="center"/>
          </w:tcPr>
          <w:p w14:paraId="31132CD7" w14:textId="77777777" w:rsidR="00DD092D" w:rsidRDefault="00DD092D" w:rsidP="002B3750">
            <w:r>
              <w:t>4+4=8</w:t>
            </w:r>
          </w:p>
        </w:tc>
        <w:tc>
          <w:tcPr>
            <w:tcW w:w="5103" w:type="dxa"/>
            <w:vAlign w:val="center"/>
          </w:tcPr>
          <w:p w14:paraId="47AC1164" w14:textId="77777777" w:rsidR="00DD092D" w:rsidRPr="005E2FC8" w:rsidRDefault="005E2FC8" w:rsidP="002B3750">
            <w:pPr>
              <w:rPr>
                <w:rFonts w:cs="Arial"/>
                <w:bCs/>
              </w:rPr>
            </w:pPr>
            <w:r>
              <w:rPr>
                <w:rFonts w:cs="Arial"/>
                <w:bCs/>
              </w:rPr>
              <w:t xml:space="preserve">Only poorly </w:t>
            </w:r>
            <w:r w:rsidR="00DD092D" w:rsidRPr="005E2FC8">
              <w:rPr>
                <w:rFonts w:cs="Arial"/>
                <w:bCs/>
              </w:rPr>
              <w:t>formed/fused/cribriform glands</w:t>
            </w:r>
          </w:p>
        </w:tc>
      </w:tr>
      <w:tr w:rsidR="00DD092D" w14:paraId="00BE9BBF" w14:textId="77777777" w:rsidTr="00BA115E">
        <w:trPr>
          <w:trHeight w:val="602"/>
        </w:trPr>
        <w:tc>
          <w:tcPr>
            <w:tcW w:w="1823" w:type="dxa"/>
            <w:vMerge/>
            <w:vAlign w:val="center"/>
          </w:tcPr>
          <w:p w14:paraId="146C30DB" w14:textId="77777777" w:rsidR="00DD092D" w:rsidRDefault="00DD092D" w:rsidP="002B3750"/>
        </w:tc>
        <w:tc>
          <w:tcPr>
            <w:tcW w:w="1721" w:type="dxa"/>
            <w:vAlign w:val="center"/>
          </w:tcPr>
          <w:p w14:paraId="159AFAA8" w14:textId="77777777" w:rsidR="00DD092D" w:rsidRDefault="00DD092D" w:rsidP="002B3750">
            <w:r>
              <w:t>3+5=8</w:t>
            </w:r>
          </w:p>
        </w:tc>
        <w:tc>
          <w:tcPr>
            <w:tcW w:w="5103" w:type="dxa"/>
            <w:vAlign w:val="center"/>
          </w:tcPr>
          <w:p w14:paraId="758EC23D" w14:textId="77777777" w:rsidR="00DD092D" w:rsidRPr="005E2FC8" w:rsidRDefault="00DD092D" w:rsidP="00B628DF">
            <w:pPr>
              <w:rPr>
                <w:rFonts w:cs="Arial"/>
                <w:bCs/>
              </w:rPr>
            </w:pPr>
            <w:r w:rsidRPr="005E2FC8">
              <w:rPr>
                <w:rFonts w:cs="Arial"/>
                <w:bCs/>
              </w:rPr>
              <w:t>Predominantly well-formed glands and lesser component (</w:t>
            </w:r>
            <w:r w:rsidR="00B628DF" w:rsidRPr="00B628DF">
              <w:rPr>
                <w:rFonts w:cs="Arial"/>
                <w:bCs/>
                <w:vertAlign w:val="superscript"/>
              </w:rPr>
              <w:t>##</w:t>
            </w:r>
            <w:r w:rsidRPr="005E2FC8">
              <w:rPr>
                <w:rFonts w:cs="Arial"/>
                <w:bCs/>
              </w:rPr>
              <w:t>) lacking glands (or with necrosis)</w:t>
            </w:r>
          </w:p>
        </w:tc>
      </w:tr>
      <w:tr w:rsidR="00DD092D" w14:paraId="3986CDDC" w14:textId="77777777" w:rsidTr="00BA115E">
        <w:trPr>
          <w:trHeight w:val="692"/>
        </w:trPr>
        <w:tc>
          <w:tcPr>
            <w:tcW w:w="1823" w:type="dxa"/>
            <w:vMerge/>
            <w:vAlign w:val="center"/>
          </w:tcPr>
          <w:p w14:paraId="2B698BFC" w14:textId="77777777" w:rsidR="00DD092D" w:rsidRDefault="00DD092D" w:rsidP="002B3750"/>
        </w:tc>
        <w:tc>
          <w:tcPr>
            <w:tcW w:w="1721" w:type="dxa"/>
            <w:vAlign w:val="center"/>
          </w:tcPr>
          <w:p w14:paraId="0B2C12BA" w14:textId="77777777" w:rsidR="00DD092D" w:rsidRDefault="00DD092D" w:rsidP="002B3750">
            <w:r>
              <w:t>5+3=8</w:t>
            </w:r>
          </w:p>
        </w:tc>
        <w:tc>
          <w:tcPr>
            <w:tcW w:w="5103" w:type="dxa"/>
            <w:vAlign w:val="center"/>
          </w:tcPr>
          <w:p w14:paraId="34D70FD2" w14:textId="77777777" w:rsidR="00DD092D" w:rsidRPr="005E2FC8" w:rsidRDefault="00DD092D" w:rsidP="00AD74B5">
            <w:pPr>
              <w:rPr>
                <w:rFonts w:cs="Arial"/>
                <w:bCs/>
              </w:rPr>
            </w:pPr>
            <w:r w:rsidRPr="005E2FC8">
              <w:rPr>
                <w:rFonts w:cs="Arial"/>
                <w:bCs/>
              </w:rPr>
              <w:t>Predominantly lacking glands (or with necrosis) and lesser component (</w:t>
            </w:r>
            <w:r w:rsidR="00AD74B5" w:rsidRPr="00AD74B5">
              <w:rPr>
                <w:rFonts w:cs="Arial"/>
                <w:bCs/>
                <w:vertAlign w:val="superscript"/>
              </w:rPr>
              <w:t>##</w:t>
            </w:r>
            <w:r w:rsidRPr="005E2FC8">
              <w:rPr>
                <w:rFonts w:cs="Arial"/>
                <w:bCs/>
              </w:rPr>
              <w:t>) of well-formed glands</w:t>
            </w:r>
          </w:p>
        </w:tc>
      </w:tr>
      <w:tr w:rsidR="00DD092D" w14:paraId="58A0BD12" w14:textId="77777777" w:rsidTr="00BA115E">
        <w:trPr>
          <w:trHeight w:val="620"/>
        </w:trPr>
        <w:tc>
          <w:tcPr>
            <w:tcW w:w="1823" w:type="dxa"/>
            <w:vAlign w:val="center"/>
          </w:tcPr>
          <w:p w14:paraId="03943599" w14:textId="77777777" w:rsidR="00DD092D" w:rsidRDefault="00DD092D" w:rsidP="002B3750">
            <w:r>
              <w:t>5</w:t>
            </w:r>
          </w:p>
        </w:tc>
        <w:tc>
          <w:tcPr>
            <w:tcW w:w="1721" w:type="dxa"/>
            <w:vAlign w:val="center"/>
          </w:tcPr>
          <w:p w14:paraId="67D8E115" w14:textId="77777777" w:rsidR="00DD092D" w:rsidRDefault="00DD092D" w:rsidP="002B3750">
            <w:r>
              <w:t>9-10</w:t>
            </w:r>
          </w:p>
        </w:tc>
        <w:tc>
          <w:tcPr>
            <w:tcW w:w="5103" w:type="dxa"/>
            <w:vAlign w:val="center"/>
          </w:tcPr>
          <w:p w14:paraId="063FCCCE" w14:textId="77777777" w:rsidR="00DD092D" w:rsidRPr="005E2FC8" w:rsidRDefault="00DD092D" w:rsidP="00AD74B5">
            <w:pPr>
              <w:rPr>
                <w:rFonts w:cs="Arial"/>
              </w:rPr>
            </w:pPr>
            <w:r w:rsidRPr="005E2FC8">
              <w:rPr>
                <w:rFonts w:cs="Arial"/>
                <w:bCs/>
              </w:rPr>
              <w:t>Lack gland formation (or with necrosis) with or without poorly formed/fused/cribriform glands</w:t>
            </w:r>
            <w:r w:rsidR="007A5D66" w:rsidRPr="005E2FC8">
              <w:rPr>
                <w:rFonts w:cs="Arial"/>
                <w:bCs/>
              </w:rPr>
              <w:t xml:space="preserve"> (</w:t>
            </w:r>
            <w:r w:rsidR="00AD74B5" w:rsidRPr="00AD74B5">
              <w:rPr>
                <w:rFonts w:cs="Arial"/>
                <w:bCs/>
                <w:vertAlign w:val="superscript"/>
              </w:rPr>
              <w:t>#</w:t>
            </w:r>
            <w:r w:rsidR="007A5D66" w:rsidRPr="005E2FC8">
              <w:rPr>
                <w:rFonts w:cs="Arial"/>
                <w:bCs/>
              </w:rPr>
              <w:t>)</w:t>
            </w:r>
          </w:p>
        </w:tc>
      </w:tr>
    </w:tbl>
    <w:p w14:paraId="29824B42" w14:textId="77777777" w:rsidR="00DD092D" w:rsidRDefault="00DD092D" w:rsidP="002B3750"/>
    <w:p w14:paraId="068DF627" w14:textId="3346974D" w:rsidR="0004672B" w:rsidRPr="00186FFB" w:rsidRDefault="00AD74B5" w:rsidP="002B3750">
      <w:pPr>
        <w:rPr>
          <w:i/>
          <w:sz w:val="18"/>
          <w:szCs w:val="18"/>
        </w:rPr>
      </w:pPr>
      <w:r w:rsidRPr="00186FFB">
        <w:rPr>
          <w:i/>
          <w:sz w:val="18"/>
          <w:szCs w:val="18"/>
          <w:vertAlign w:val="superscript"/>
        </w:rPr>
        <w:t>#</w:t>
      </w:r>
      <w:r w:rsidR="0004672B" w:rsidRPr="00186FFB">
        <w:rPr>
          <w:i/>
          <w:sz w:val="18"/>
          <w:szCs w:val="18"/>
        </w:rPr>
        <w:t xml:space="preserve"> </w:t>
      </w:r>
      <w:r w:rsidR="007A5D66" w:rsidRPr="00186FFB">
        <w:rPr>
          <w:i/>
          <w:sz w:val="18"/>
          <w:szCs w:val="18"/>
        </w:rPr>
        <w:t xml:space="preserve">For cases with </w:t>
      </w:r>
      <w:r w:rsidR="007D561C">
        <w:rPr>
          <w:i/>
          <w:sz w:val="18"/>
          <w:szCs w:val="18"/>
        </w:rPr>
        <w:t xml:space="preserve">greater than </w:t>
      </w:r>
      <w:r w:rsidR="007A5D66" w:rsidRPr="00186FFB">
        <w:rPr>
          <w:i/>
          <w:sz w:val="18"/>
          <w:szCs w:val="18"/>
        </w:rPr>
        <w:t xml:space="preserve">95% poorly formed/fused/cribriform glands on a core or at radical prostatectomy, the component of </w:t>
      </w:r>
      <w:r w:rsidR="007D561C">
        <w:rPr>
          <w:i/>
          <w:sz w:val="18"/>
          <w:szCs w:val="18"/>
        </w:rPr>
        <w:t xml:space="preserve">less than </w:t>
      </w:r>
      <w:r w:rsidR="007A5D66" w:rsidRPr="00186FFB">
        <w:rPr>
          <w:i/>
          <w:sz w:val="18"/>
          <w:szCs w:val="18"/>
        </w:rPr>
        <w:t>5% well-formed glands is not factored into the grade</w:t>
      </w:r>
      <w:r w:rsidR="00846D99" w:rsidRPr="00186FFB">
        <w:rPr>
          <w:i/>
          <w:sz w:val="18"/>
          <w:szCs w:val="18"/>
        </w:rPr>
        <w:t>; should therefore be graded as grade group 4</w:t>
      </w:r>
      <w:r w:rsidR="007A5D66" w:rsidRPr="00186FFB">
        <w:rPr>
          <w:i/>
          <w:sz w:val="18"/>
          <w:szCs w:val="18"/>
        </w:rPr>
        <w:t>.</w:t>
      </w:r>
    </w:p>
    <w:p w14:paraId="0F28DB1C" w14:textId="77777777" w:rsidR="00186FFB" w:rsidRDefault="00186FFB" w:rsidP="002B3750">
      <w:pPr>
        <w:rPr>
          <w:i/>
          <w:sz w:val="18"/>
          <w:szCs w:val="18"/>
          <w:vertAlign w:val="superscript"/>
        </w:rPr>
      </w:pPr>
    </w:p>
    <w:p w14:paraId="2D6A89B4" w14:textId="77777777" w:rsidR="00F45F2F" w:rsidRDefault="00AD74B5" w:rsidP="002B3750">
      <w:pPr>
        <w:rPr>
          <w:i/>
          <w:sz w:val="18"/>
          <w:szCs w:val="18"/>
        </w:rPr>
      </w:pPr>
      <w:r w:rsidRPr="00186FFB">
        <w:rPr>
          <w:i/>
          <w:sz w:val="18"/>
          <w:szCs w:val="18"/>
          <w:vertAlign w:val="superscript"/>
        </w:rPr>
        <w:t>##</w:t>
      </w:r>
      <w:r w:rsidR="0004672B" w:rsidRPr="00186FFB">
        <w:rPr>
          <w:i/>
          <w:sz w:val="18"/>
          <w:szCs w:val="18"/>
        </w:rPr>
        <w:t xml:space="preserve"> </w:t>
      </w:r>
      <w:r w:rsidR="00004F97" w:rsidRPr="00186FFB">
        <w:rPr>
          <w:i/>
          <w:sz w:val="18"/>
          <w:szCs w:val="18"/>
        </w:rPr>
        <w:t>Poorly formed/fused/cribriform glands can be a</w:t>
      </w:r>
      <w:r w:rsidR="00846D99" w:rsidRPr="00186FFB">
        <w:rPr>
          <w:i/>
          <w:sz w:val="18"/>
          <w:szCs w:val="18"/>
        </w:rPr>
        <w:t xml:space="preserve"> </w:t>
      </w:r>
      <w:r w:rsidR="00004F97" w:rsidRPr="00186FFB">
        <w:rPr>
          <w:i/>
          <w:sz w:val="18"/>
          <w:szCs w:val="18"/>
        </w:rPr>
        <w:t>more minor component.</w:t>
      </w:r>
    </w:p>
    <w:p w14:paraId="6B3191A2" w14:textId="77777777" w:rsidR="00912258" w:rsidRPr="00912258" w:rsidRDefault="00912258" w:rsidP="002B3750"/>
    <w:p w14:paraId="67ACEC7C" w14:textId="4A789B75" w:rsidR="00912258" w:rsidRPr="006E413D" w:rsidRDefault="00912258" w:rsidP="002B3750">
      <w:pPr>
        <w:pStyle w:val="Heading2"/>
        <w:rPr>
          <w:b w:val="0"/>
          <w:u w:val="single"/>
        </w:rPr>
      </w:pPr>
      <w:r w:rsidRPr="006E413D">
        <w:rPr>
          <w:b w:val="0"/>
          <w:u w:val="single"/>
        </w:rPr>
        <w:t xml:space="preserve">Percentage </w:t>
      </w:r>
      <w:r w:rsidR="00DD092D" w:rsidRPr="006E413D">
        <w:rPr>
          <w:b w:val="0"/>
          <w:u w:val="single"/>
        </w:rPr>
        <w:t>Gleason pattern</w:t>
      </w:r>
      <w:r w:rsidR="0004672B" w:rsidRPr="006E413D">
        <w:rPr>
          <w:b w:val="0"/>
          <w:u w:val="single"/>
        </w:rPr>
        <w:t>s</w:t>
      </w:r>
      <w:r w:rsidR="005E2FC8" w:rsidRPr="006E413D">
        <w:rPr>
          <w:b w:val="0"/>
          <w:u w:val="single"/>
        </w:rPr>
        <w:t xml:space="preserve"> 4</w:t>
      </w:r>
      <w:r w:rsidR="00A26819">
        <w:rPr>
          <w:b w:val="0"/>
          <w:u w:val="single"/>
        </w:rPr>
        <w:t xml:space="preserve"> and </w:t>
      </w:r>
      <w:r w:rsidR="005E2FC8" w:rsidRPr="006E413D">
        <w:rPr>
          <w:b w:val="0"/>
          <w:u w:val="single"/>
        </w:rPr>
        <w:t>5 (Applicable to Gleason S</w:t>
      </w:r>
      <w:r w:rsidR="00DD092D" w:rsidRPr="006E413D">
        <w:rPr>
          <w:b w:val="0"/>
          <w:u w:val="single"/>
        </w:rPr>
        <w:t xml:space="preserve">cores </w:t>
      </w:r>
      <w:r w:rsidR="00DD092D" w:rsidRPr="006E413D">
        <w:rPr>
          <w:rFonts w:cs="Arial"/>
          <w:b w:val="0"/>
          <w:u w:val="single"/>
        </w:rPr>
        <w:t>≥</w:t>
      </w:r>
      <w:r w:rsidR="00DD092D" w:rsidRPr="006E413D">
        <w:rPr>
          <w:b w:val="0"/>
          <w:u w:val="single"/>
        </w:rPr>
        <w:t>7)</w:t>
      </w:r>
    </w:p>
    <w:p w14:paraId="6FF93BD1" w14:textId="57491F2B" w:rsidR="00EF6F84" w:rsidRDefault="00EF6F84" w:rsidP="002B3750">
      <w:r>
        <w:t xml:space="preserve">Another recommendation from the </w:t>
      </w:r>
      <w:r w:rsidR="00F45F2F">
        <w:t xml:space="preserve">2014 </w:t>
      </w:r>
      <w:r>
        <w:t>IS</w:t>
      </w:r>
      <w:r w:rsidR="00E74472">
        <w:t>U</w:t>
      </w:r>
      <w:r>
        <w:t xml:space="preserve">P </w:t>
      </w:r>
      <w:r w:rsidR="005E2FC8">
        <w:t xml:space="preserve">consensus conference </w:t>
      </w:r>
      <w:r w:rsidR="00D36A4B">
        <w:t xml:space="preserve">endorsed in the 2016 WHO </w:t>
      </w:r>
      <w:r w:rsidR="005E2FC8">
        <w:t xml:space="preserve">classification </w:t>
      </w:r>
      <w:r>
        <w:t xml:space="preserve">is that the percentage of pattern 4 should be recorded in all Gleason </w:t>
      </w:r>
      <w:r w:rsidR="00B96889">
        <w:t xml:space="preserve">score </w:t>
      </w:r>
      <w:r>
        <w:t>7(3+4, 4+3) cases.</w:t>
      </w:r>
      <w:r w:rsidR="00BE3F98">
        <w:rPr>
          <w:vertAlign w:val="superscript"/>
        </w:rPr>
        <w:t>1</w:t>
      </w:r>
      <w:r>
        <w:t xml:space="preserve"> </w:t>
      </w:r>
      <w:r w:rsidR="00F45F2F">
        <w:t xml:space="preserve">This measurement further stratifies Gleason </w:t>
      </w:r>
      <w:r w:rsidR="00B96889">
        <w:t xml:space="preserve">score </w:t>
      </w:r>
      <w:r w:rsidR="00F45F2F">
        <w:t xml:space="preserve">7 and allows identification of cases with </w:t>
      </w:r>
      <w:r w:rsidR="00B96889">
        <w:t>limited</w:t>
      </w:r>
      <w:r w:rsidR="00F45F2F">
        <w:t xml:space="preserve"> pattern 4</w:t>
      </w:r>
      <w:r w:rsidR="00B96889">
        <w:t xml:space="preserve"> </w:t>
      </w:r>
      <w:r w:rsidR="005E2FC8">
        <w:t>(e</w:t>
      </w:r>
      <w:r w:rsidR="00F45F2F">
        <w:t>g</w:t>
      </w:r>
      <w:r w:rsidR="005E2FC8">
        <w:t>,</w:t>
      </w:r>
      <w:r w:rsidR="00F45F2F">
        <w:t xml:space="preserve"> </w:t>
      </w:r>
      <w:r w:rsidR="007D561C">
        <w:t xml:space="preserve">less than </w:t>
      </w:r>
      <w:r w:rsidR="00F45F2F">
        <w:t xml:space="preserve">10%) or </w:t>
      </w:r>
      <w:r w:rsidR="00B96889">
        <w:t xml:space="preserve">extensive </w:t>
      </w:r>
      <w:r w:rsidR="005E2FC8">
        <w:t>pattern 4 (e</w:t>
      </w:r>
      <w:r w:rsidR="00F45F2F">
        <w:t>g</w:t>
      </w:r>
      <w:r w:rsidR="005E2FC8">
        <w:t>,</w:t>
      </w:r>
      <w:r w:rsidR="00F45F2F">
        <w:t xml:space="preserve"> </w:t>
      </w:r>
      <w:r w:rsidR="007D561C">
        <w:t xml:space="preserve">greater than </w:t>
      </w:r>
      <w:r w:rsidR="00F45F2F">
        <w:t>75%).</w:t>
      </w:r>
      <w:r w:rsidR="008E5E2E">
        <w:rPr>
          <w:vertAlign w:val="superscript"/>
        </w:rPr>
        <w:t>1</w:t>
      </w:r>
      <w:r w:rsidR="00BE3F98">
        <w:rPr>
          <w:vertAlign w:val="superscript"/>
        </w:rPr>
        <w:t>6</w:t>
      </w:r>
      <w:r w:rsidR="00F14D81">
        <w:rPr>
          <w:vertAlign w:val="superscript"/>
        </w:rPr>
        <w:t>,</w:t>
      </w:r>
      <w:r w:rsidR="00BE3F98">
        <w:rPr>
          <w:vertAlign w:val="superscript"/>
        </w:rPr>
        <w:t>17</w:t>
      </w:r>
      <w:r w:rsidR="00F45F2F">
        <w:rPr>
          <w:vertAlign w:val="superscript"/>
        </w:rPr>
        <w:t xml:space="preserve"> </w:t>
      </w:r>
      <w:r w:rsidR="00F45F2F">
        <w:t xml:space="preserve"> </w:t>
      </w:r>
      <w:r>
        <w:t xml:space="preserve">This </w:t>
      </w:r>
      <w:r w:rsidR="00F45F2F">
        <w:t>has practical importance since</w:t>
      </w:r>
      <w:r>
        <w:t xml:space="preserve"> </w:t>
      </w:r>
      <w:r w:rsidR="00F45F2F">
        <w:t>s</w:t>
      </w:r>
      <w:r>
        <w:t>elected patients with Gleason score 7</w:t>
      </w:r>
      <w:r w:rsidR="0004672B">
        <w:t>(3+4)</w:t>
      </w:r>
      <w:r>
        <w:t xml:space="preserve"> but small amounts of pattern 4 (</w:t>
      </w:r>
      <w:r w:rsidR="007D561C">
        <w:t xml:space="preserve">less than or equal to </w:t>
      </w:r>
      <w:r>
        <w:t>10%) may be eligible for active surveillance.</w:t>
      </w:r>
      <w:r w:rsidR="00BE3F98">
        <w:t>18-19</w:t>
      </w:r>
      <w:r>
        <w:t xml:space="preserve"> </w:t>
      </w:r>
    </w:p>
    <w:p w14:paraId="4778BAE9" w14:textId="77777777" w:rsidR="00EF6F84" w:rsidRDefault="00EF6F84" w:rsidP="002B3750"/>
    <w:p w14:paraId="7DA74B64" w14:textId="1981E0E5" w:rsidR="00D36A4B" w:rsidRPr="00B07369" w:rsidRDefault="00EF6F84" w:rsidP="002B3750">
      <w:r>
        <w:t xml:space="preserve">In tumors with Gleason scores </w:t>
      </w:r>
      <w:r w:rsidR="007D561C">
        <w:t xml:space="preserve">greater than </w:t>
      </w:r>
      <w:r>
        <w:t xml:space="preserve">7, the percentage </w:t>
      </w:r>
      <w:r w:rsidR="00B96889">
        <w:t xml:space="preserve">of </w:t>
      </w:r>
      <w:r>
        <w:t>pattern</w:t>
      </w:r>
      <w:r w:rsidR="0004672B">
        <w:t>s</w:t>
      </w:r>
      <w:r>
        <w:t xml:space="preserve"> 4</w:t>
      </w:r>
      <w:r w:rsidR="00B96889">
        <w:t xml:space="preserve"> and </w:t>
      </w:r>
      <w:r>
        <w:t>5 has been shown to be of prognostic significance</w:t>
      </w:r>
      <w:r w:rsidR="00A54F7E">
        <w:rPr>
          <w:vertAlign w:val="superscript"/>
        </w:rPr>
        <w:t>1</w:t>
      </w:r>
      <w:r w:rsidR="00BE3F98">
        <w:rPr>
          <w:vertAlign w:val="superscript"/>
        </w:rPr>
        <w:t>6</w:t>
      </w:r>
      <w:r>
        <w:t xml:space="preserve"> </w:t>
      </w:r>
      <w:r w:rsidR="00B96889">
        <w:t xml:space="preserve">and may be included in the report. Currently there </w:t>
      </w:r>
      <w:r w:rsidR="00D36A4B">
        <w:t xml:space="preserve">is no consensus on how the </w:t>
      </w:r>
      <w:r w:rsidR="0017251A">
        <w:t>percentage of</w:t>
      </w:r>
      <w:r w:rsidR="00D36A4B">
        <w:t xml:space="preserve"> </w:t>
      </w:r>
      <w:r w:rsidR="00F45F2F">
        <w:t xml:space="preserve">pattern </w:t>
      </w:r>
      <w:r w:rsidR="00D36A4B">
        <w:t xml:space="preserve">4+5 should be recorded although it may be captured in 10% intervals or </w:t>
      </w:r>
      <w:r w:rsidR="00F45F2F">
        <w:t xml:space="preserve">other stratifications such as </w:t>
      </w:r>
      <w:r w:rsidR="007D561C">
        <w:t xml:space="preserve">less than </w:t>
      </w:r>
      <w:r w:rsidR="00D36A4B">
        <w:t>5%, 5</w:t>
      </w:r>
      <w:r w:rsidR="007D561C">
        <w:t>%</w:t>
      </w:r>
      <w:r w:rsidR="00D36A4B">
        <w:t>-10%, 10</w:t>
      </w:r>
      <w:r w:rsidR="007D561C">
        <w:t>%</w:t>
      </w:r>
      <w:r w:rsidR="00D36A4B">
        <w:t>-25%, 25</w:t>
      </w:r>
      <w:r w:rsidR="007D561C">
        <w:t>%</w:t>
      </w:r>
      <w:r w:rsidR="00D36A4B">
        <w:t>-50%, 50</w:t>
      </w:r>
      <w:r w:rsidR="007D561C">
        <w:t>%</w:t>
      </w:r>
      <w:r w:rsidR="00D36A4B">
        <w:t xml:space="preserve">-75%, </w:t>
      </w:r>
      <w:r w:rsidR="007D561C">
        <w:t xml:space="preserve">greater than </w:t>
      </w:r>
      <w:r w:rsidR="00D36A4B">
        <w:t>75%.</w:t>
      </w:r>
    </w:p>
    <w:p w14:paraId="160437DD" w14:textId="77777777" w:rsidR="00EF6F84" w:rsidRDefault="00EF6F84" w:rsidP="002B3750"/>
    <w:p w14:paraId="5B7CD3F4" w14:textId="269D72E8" w:rsidR="00BE3F98" w:rsidRPr="00342F88" w:rsidRDefault="00BE3F98" w:rsidP="00BE3F98">
      <w:r w:rsidRPr="00342F88">
        <w:lastRenderedPageBreak/>
        <w:t>References</w:t>
      </w:r>
      <w:r w:rsidR="007D561C">
        <w:t>:</w:t>
      </w:r>
    </w:p>
    <w:p w14:paraId="5EDC1B85" w14:textId="77777777" w:rsidR="00BE3F98" w:rsidRDefault="00BE3F98" w:rsidP="00894572">
      <w:pPr>
        <w:pStyle w:val="References"/>
      </w:pPr>
      <w:r>
        <w:t>1.</w:t>
      </w:r>
      <w:r>
        <w:tab/>
        <w:t xml:space="preserve">Humphrey P, Amin MB, </w:t>
      </w:r>
      <w:proofErr w:type="spellStart"/>
      <w:r>
        <w:t>Berney</w:t>
      </w:r>
      <w:proofErr w:type="spellEnd"/>
      <w:r>
        <w:t xml:space="preserve"> D, </w:t>
      </w:r>
      <w:proofErr w:type="spellStart"/>
      <w:r>
        <w:t>Billis</w:t>
      </w:r>
      <w:proofErr w:type="spellEnd"/>
      <w:r>
        <w:t xml:space="preserve"> A, et al. Acinar adenocarcinoma. In: </w:t>
      </w:r>
      <w:proofErr w:type="spellStart"/>
      <w:r>
        <w:t>Moch</w:t>
      </w:r>
      <w:proofErr w:type="spellEnd"/>
      <w:r>
        <w:t xml:space="preserve"> H, Humphrey PA, Ulbright T, Reuter VE, eds. </w:t>
      </w:r>
      <w:r w:rsidRPr="0062185C">
        <w:rPr>
          <w:i/>
        </w:rPr>
        <w:t>Pathology and Genetics: Tumors of the Urinary System and Male Genital Organs</w:t>
      </w:r>
      <w:r>
        <w:t>. 4th edition. WHO Classification of Tumors. Zurich, Switzerland: WHO Press; 2015:3-28.</w:t>
      </w:r>
    </w:p>
    <w:p w14:paraId="3D189C07" w14:textId="77777777" w:rsidR="00BE3F98" w:rsidRDefault="00BE3F98" w:rsidP="00894572">
      <w:pPr>
        <w:pStyle w:val="References"/>
      </w:pPr>
      <w:r>
        <w:t>2.</w:t>
      </w:r>
      <w:r>
        <w:tab/>
        <w:t xml:space="preserve">Gleason DR, Mellinger GT, the Veterans Administration Cooperative Urological Research Group. Prediction of prognosis for prostate adenocarcinoma by combined histological grading and clinical staging. </w:t>
      </w:r>
      <w:r w:rsidRPr="0062185C">
        <w:rPr>
          <w:i/>
        </w:rPr>
        <w:t>J Urol.</w:t>
      </w:r>
      <w:r>
        <w:t xml:space="preserve"> 1974;111:58-64. </w:t>
      </w:r>
    </w:p>
    <w:p w14:paraId="742682CB" w14:textId="77777777" w:rsidR="00BE3F98" w:rsidRDefault="00BE3F98" w:rsidP="00894572">
      <w:pPr>
        <w:pStyle w:val="References"/>
      </w:pPr>
      <w:r>
        <w:t>3.</w:t>
      </w:r>
      <w:r>
        <w:tab/>
        <w:t xml:space="preserve">Stephenson AJ, Scardino PT, Eastham JA, et al. Preoperative nomogram predicting the 10-year probability of prostate cancer recurrence after radical prostatectomy. </w:t>
      </w:r>
      <w:r w:rsidRPr="0062185C">
        <w:rPr>
          <w:i/>
        </w:rPr>
        <w:t>J Natl Cancer Inst</w:t>
      </w:r>
      <w:r>
        <w:t>. 2006;98:715-717.</w:t>
      </w:r>
    </w:p>
    <w:p w14:paraId="0474A62D" w14:textId="77777777" w:rsidR="00BE3F98" w:rsidRDefault="00BE3F98" w:rsidP="00894572">
      <w:pPr>
        <w:pStyle w:val="References"/>
      </w:pPr>
      <w:r>
        <w:t>4.</w:t>
      </w:r>
      <w:r>
        <w:tab/>
        <w:t xml:space="preserve">Stephenson AJ, Scardino PT, Eastham JA, et al.  Postoperative nomogram predicting the 10-year probability of prostate cancer recurrence after radical prostatectomy. </w:t>
      </w:r>
      <w:r w:rsidRPr="0062185C">
        <w:rPr>
          <w:i/>
        </w:rPr>
        <w:t>J Clin Oncol</w:t>
      </w:r>
      <w:r>
        <w:t>. 2005;23:7005-7012.</w:t>
      </w:r>
    </w:p>
    <w:p w14:paraId="0A17CC91" w14:textId="77777777" w:rsidR="00BE3F98" w:rsidRDefault="00BE3F98" w:rsidP="00894572">
      <w:pPr>
        <w:pStyle w:val="References"/>
      </w:pPr>
      <w:r>
        <w:t>5.</w:t>
      </w:r>
      <w:r>
        <w:tab/>
        <w:t xml:space="preserve">Makarov DV, </w:t>
      </w:r>
      <w:proofErr w:type="spellStart"/>
      <w:r>
        <w:t>Trock</w:t>
      </w:r>
      <w:proofErr w:type="spellEnd"/>
      <w:r>
        <w:t xml:space="preserve"> BJ, Humphreys EB, et al. Updated nomogram to predict pathologic stage of prostate cancer given prostate-specific antigen level, clinical stage, and biopsy Gleason score (Partin tables) based on cases from 2000 to 2005. </w:t>
      </w:r>
      <w:r w:rsidRPr="0062185C">
        <w:rPr>
          <w:i/>
        </w:rPr>
        <w:t>Urology</w:t>
      </w:r>
      <w:r>
        <w:t>. 2007;69:1095-1101.</w:t>
      </w:r>
    </w:p>
    <w:p w14:paraId="4E0F7D57" w14:textId="77777777" w:rsidR="00BE3F98" w:rsidRDefault="00BE3F98" w:rsidP="00894572">
      <w:pPr>
        <w:pStyle w:val="References"/>
      </w:pPr>
      <w:r>
        <w:t>6.</w:t>
      </w:r>
      <w:r>
        <w:tab/>
        <w:t xml:space="preserve">Epstein JI, </w:t>
      </w:r>
      <w:proofErr w:type="spellStart"/>
      <w:r>
        <w:t>Allsbrook</w:t>
      </w:r>
      <w:proofErr w:type="spellEnd"/>
      <w:r>
        <w:t xml:space="preserve"> Jr WC, Amin MB, Egevad L, ISUP Grading Committee. The 2005 International Society of Urological Pathology (ISUP) Consensus Conference on Gleason Grading of Prostatic Carcinoma. </w:t>
      </w:r>
      <w:r w:rsidRPr="0062185C">
        <w:rPr>
          <w:i/>
        </w:rPr>
        <w:t xml:space="preserve">Am J Surg </w:t>
      </w:r>
      <w:proofErr w:type="spellStart"/>
      <w:r w:rsidRPr="0062185C">
        <w:rPr>
          <w:i/>
        </w:rPr>
        <w:t>Pathol</w:t>
      </w:r>
      <w:proofErr w:type="spellEnd"/>
      <w:r w:rsidRPr="0062185C">
        <w:rPr>
          <w:i/>
        </w:rPr>
        <w:t>.</w:t>
      </w:r>
      <w:r>
        <w:t xml:space="preserve"> 2005;29:1228-1242.</w:t>
      </w:r>
    </w:p>
    <w:p w14:paraId="434841F4" w14:textId="77777777" w:rsidR="00BE3F98" w:rsidRDefault="00BE3F98" w:rsidP="00894572">
      <w:pPr>
        <w:pStyle w:val="References"/>
      </w:pPr>
      <w:r>
        <w:t>7.</w:t>
      </w:r>
      <w:r>
        <w:tab/>
        <w:t xml:space="preserve">Epstein JI, Egevad L, Amin MB, Delahunt B, Srigley JR, Humphrey PA; and the Grading Committee The 2014 International Society of Urological Pathology (ISUP) Consensus Conference on Gleason Grading of Prostatic Carcinoma: definition of grading patterns and proposal for a new grading system. </w:t>
      </w:r>
      <w:r w:rsidRPr="0062185C">
        <w:rPr>
          <w:i/>
        </w:rPr>
        <w:t xml:space="preserve">Am J Surg </w:t>
      </w:r>
      <w:proofErr w:type="spellStart"/>
      <w:r w:rsidRPr="0062185C">
        <w:rPr>
          <w:i/>
        </w:rPr>
        <w:t>Pathol</w:t>
      </w:r>
      <w:proofErr w:type="spellEnd"/>
      <w:r>
        <w:rPr>
          <w:i/>
        </w:rPr>
        <w:t>.</w:t>
      </w:r>
      <w:r>
        <w:t xml:space="preserve"> 2016; 40: 244-252.</w:t>
      </w:r>
    </w:p>
    <w:p w14:paraId="46171531" w14:textId="77777777" w:rsidR="00BE3F98" w:rsidRDefault="00BE3F98" w:rsidP="00894572">
      <w:pPr>
        <w:pStyle w:val="References"/>
      </w:pPr>
      <w:r>
        <w:t>8</w:t>
      </w:r>
      <w:r w:rsidRPr="000F623D">
        <w:t>.</w:t>
      </w:r>
      <w:r w:rsidRPr="000F623D">
        <w:tab/>
        <w:t>Arias-Stella JA 3rd1, Shah AB, Montoya-</w:t>
      </w:r>
      <w:proofErr w:type="spellStart"/>
      <w:r w:rsidRPr="000F623D">
        <w:t>Cerrillo</w:t>
      </w:r>
      <w:proofErr w:type="spellEnd"/>
      <w:r w:rsidRPr="000F623D">
        <w:t xml:space="preserve"> D, Williamson SR, Gupta NS. Prostate biopsy and radical prostatectomy Gleason score correlation in heterogenous tumors: proposal for a composite Gleason score. </w:t>
      </w:r>
      <w:r w:rsidRPr="0062185C">
        <w:rPr>
          <w:i/>
        </w:rPr>
        <w:t xml:space="preserve">Am J Surg </w:t>
      </w:r>
      <w:proofErr w:type="spellStart"/>
      <w:r w:rsidRPr="0062185C">
        <w:rPr>
          <w:i/>
        </w:rPr>
        <w:t>Pathol</w:t>
      </w:r>
      <w:proofErr w:type="spellEnd"/>
      <w:r w:rsidRPr="0062185C">
        <w:rPr>
          <w:i/>
        </w:rPr>
        <w:t>.</w:t>
      </w:r>
      <w:r>
        <w:t xml:space="preserve"> 2015</w:t>
      </w:r>
      <w:r w:rsidRPr="000F623D">
        <w:t>;39(9):1213-</w:t>
      </w:r>
      <w:r>
        <w:t>121</w:t>
      </w:r>
      <w:r w:rsidRPr="000F623D">
        <w:t>8</w:t>
      </w:r>
    </w:p>
    <w:p w14:paraId="7E94D3AF" w14:textId="77777777" w:rsidR="00BE3F98" w:rsidRDefault="00BE3F98" w:rsidP="00894572">
      <w:pPr>
        <w:pStyle w:val="References"/>
      </w:pPr>
      <w:r>
        <w:t>9.</w:t>
      </w:r>
      <w:r>
        <w:tab/>
        <w:t xml:space="preserve">Patel AA, Chen M-H, Renshaw AA, D’Amico AV. PSA failure following definitive treatment of prostate cancer having biopsy Gleason score 7 with tertiary grade 5. </w:t>
      </w:r>
      <w:r w:rsidRPr="0062185C">
        <w:rPr>
          <w:i/>
        </w:rPr>
        <w:t>JAMA</w:t>
      </w:r>
      <w:r>
        <w:t>. 2007;298:1533-1538.</w:t>
      </w:r>
    </w:p>
    <w:p w14:paraId="2E89ED71" w14:textId="77777777" w:rsidR="00BE3F98" w:rsidRDefault="00BE3F98" w:rsidP="00894572">
      <w:pPr>
        <w:pStyle w:val="References"/>
      </w:pPr>
      <w:r>
        <w:t>10.</w:t>
      </w:r>
      <w:r>
        <w:tab/>
      </w:r>
      <w:proofErr w:type="spellStart"/>
      <w:r>
        <w:t>Pierorazio</w:t>
      </w:r>
      <w:proofErr w:type="spellEnd"/>
      <w:r>
        <w:t xml:space="preserve"> PM, Walsh PC, Partin AW, Epstein JI. Prognostic Gleason grade grouping: data based on the modified Gleason scoring system. </w:t>
      </w:r>
      <w:r w:rsidRPr="0062185C">
        <w:rPr>
          <w:i/>
        </w:rPr>
        <w:t>BJU Int.</w:t>
      </w:r>
      <w:r>
        <w:t xml:space="preserve"> 2013;111:753-760.</w:t>
      </w:r>
    </w:p>
    <w:p w14:paraId="7C66CE1B" w14:textId="77777777" w:rsidR="00BE3F98" w:rsidRDefault="00BE3F98" w:rsidP="00894572">
      <w:pPr>
        <w:pStyle w:val="References"/>
      </w:pPr>
      <w:r>
        <w:t>11.</w:t>
      </w:r>
      <w:r>
        <w:tab/>
      </w:r>
      <w:proofErr w:type="spellStart"/>
      <w:r>
        <w:t>Eifler</w:t>
      </w:r>
      <w:proofErr w:type="spellEnd"/>
      <w:r>
        <w:t xml:space="preserve"> JB, Feng Z, Lin BM, Partin MT, Humphreys EB, Han M, et al. An updated prostate cancer staging nomogram (Partin tables) based on cases from 2006 to 2011. </w:t>
      </w:r>
      <w:r w:rsidRPr="0062185C">
        <w:rPr>
          <w:i/>
        </w:rPr>
        <w:t>BJU Int</w:t>
      </w:r>
      <w:r>
        <w:t>. 2013;111:22-29.</w:t>
      </w:r>
    </w:p>
    <w:p w14:paraId="0EFDDBA5" w14:textId="77777777" w:rsidR="00BE3F98" w:rsidRDefault="00BE3F98" w:rsidP="00894572">
      <w:pPr>
        <w:pStyle w:val="References"/>
      </w:pPr>
      <w:r>
        <w:t>12.</w:t>
      </w:r>
      <w:r>
        <w:tab/>
        <w:t xml:space="preserve">Epstein JI, </w:t>
      </w:r>
      <w:proofErr w:type="spellStart"/>
      <w:r>
        <w:t>Zelefsky</w:t>
      </w:r>
      <w:proofErr w:type="spellEnd"/>
      <w:r>
        <w:t xml:space="preserve"> MJ, Sjoberg DD, et al. A contemporary prostate cancer grading system: a validated alternative to the Gleason score. </w:t>
      </w:r>
      <w:r w:rsidRPr="0062185C">
        <w:rPr>
          <w:i/>
        </w:rPr>
        <w:t>Eur Urol.</w:t>
      </w:r>
      <w:r>
        <w:t xml:space="preserve"> 2016;69:428-435.</w:t>
      </w:r>
    </w:p>
    <w:p w14:paraId="3BE009C1" w14:textId="77777777" w:rsidR="00BE3F98" w:rsidRDefault="00BE3F98" w:rsidP="00894572">
      <w:pPr>
        <w:pStyle w:val="References"/>
      </w:pPr>
      <w:r>
        <w:t>13.</w:t>
      </w:r>
      <w:r>
        <w:tab/>
        <w:t xml:space="preserve">Delahunt B, Egevad L, Srigley JR, et al. Validation of International Society of Urological Pathology (ISUP) grading for prostatic adenocarcinoma in thin core biopsies using TROG 03.04 'RADAR' trial clinical data. </w:t>
      </w:r>
      <w:r w:rsidRPr="0062185C">
        <w:rPr>
          <w:i/>
        </w:rPr>
        <w:t>Pathology.</w:t>
      </w:r>
      <w:r>
        <w:t xml:space="preserve"> 2015;47:520-525.</w:t>
      </w:r>
    </w:p>
    <w:p w14:paraId="1CE30F87" w14:textId="77777777" w:rsidR="00BE3F98" w:rsidRDefault="00BE3F98" w:rsidP="00894572">
      <w:pPr>
        <w:pStyle w:val="References"/>
      </w:pPr>
      <w:r>
        <w:t>14.</w:t>
      </w:r>
      <w:r>
        <w:tab/>
      </w:r>
      <w:proofErr w:type="spellStart"/>
      <w:r>
        <w:t>Samaratunga</w:t>
      </w:r>
      <w:proofErr w:type="spellEnd"/>
      <w:r>
        <w:t xml:space="preserve"> H, Delahunt B, </w:t>
      </w:r>
      <w:proofErr w:type="spellStart"/>
      <w:r>
        <w:t>Gianduzzo</w:t>
      </w:r>
      <w:proofErr w:type="spellEnd"/>
      <w:r>
        <w:t xml:space="preserve"> T, et al. The prognostic significance of the 2014 International Society of Urological Pathology (ISUP) grading system for prostate cancer. </w:t>
      </w:r>
      <w:r w:rsidRPr="0062185C">
        <w:rPr>
          <w:i/>
        </w:rPr>
        <w:t>Pathology</w:t>
      </w:r>
      <w:r>
        <w:rPr>
          <w:i/>
        </w:rPr>
        <w:t>.</w:t>
      </w:r>
      <w:r>
        <w:t xml:space="preserve"> 2015;47:515-519.</w:t>
      </w:r>
    </w:p>
    <w:p w14:paraId="4DD75C6C" w14:textId="77777777" w:rsidR="00BE3F98" w:rsidRDefault="00BE3F98" w:rsidP="00894572">
      <w:pPr>
        <w:pStyle w:val="References"/>
      </w:pPr>
      <w:r>
        <w:t>15.</w:t>
      </w:r>
      <w:r>
        <w:tab/>
      </w:r>
      <w:proofErr w:type="spellStart"/>
      <w:r w:rsidRPr="00AC73B6">
        <w:t>Berney</w:t>
      </w:r>
      <w:proofErr w:type="spellEnd"/>
      <w:r w:rsidRPr="00AC73B6">
        <w:t xml:space="preserve"> DM, Beltran L, Fisher G, </w:t>
      </w:r>
      <w:r>
        <w:t>et al</w:t>
      </w:r>
      <w:r w:rsidRPr="00AC73B6">
        <w:t xml:space="preserve">. Validation of a contemporary prostate cancer grading system using prostate cancer death as outcome. </w:t>
      </w:r>
      <w:r w:rsidRPr="0062185C">
        <w:rPr>
          <w:i/>
        </w:rPr>
        <w:t>Br J Cancer</w:t>
      </w:r>
      <w:r>
        <w:t>. 2016</w:t>
      </w:r>
      <w:r w:rsidRPr="00AC73B6">
        <w:t>;114(10):1078-</w:t>
      </w:r>
      <w:r>
        <w:t>10</w:t>
      </w:r>
      <w:r w:rsidRPr="00AC73B6">
        <w:t xml:space="preserve">83. </w:t>
      </w:r>
    </w:p>
    <w:p w14:paraId="49308BEE" w14:textId="5BEBBD69" w:rsidR="002F297D" w:rsidRDefault="002F297D" w:rsidP="00894572">
      <w:pPr>
        <w:pStyle w:val="References"/>
      </w:pPr>
      <w:r>
        <w:t>1</w:t>
      </w:r>
      <w:r w:rsidR="00BE3F98">
        <w:t>6</w:t>
      </w:r>
      <w:r>
        <w:t>.</w:t>
      </w:r>
      <w:r>
        <w:tab/>
        <w:t xml:space="preserve">Sauter G, </w:t>
      </w:r>
      <w:proofErr w:type="spellStart"/>
      <w:r>
        <w:t>Steurer</w:t>
      </w:r>
      <w:proofErr w:type="spellEnd"/>
      <w:r>
        <w:t xml:space="preserve"> S, </w:t>
      </w:r>
      <w:proofErr w:type="spellStart"/>
      <w:r>
        <w:t>Clauditz</w:t>
      </w:r>
      <w:proofErr w:type="spellEnd"/>
      <w:r>
        <w:t xml:space="preserve"> TS, et al. Clinical Utility of Quantitative Gleason Grading in Prostate Biopsies and Prostatectomy Specimens. </w:t>
      </w:r>
      <w:r w:rsidRPr="0062185C">
        <w:rPr>
          <w:i/>
        </w:rPr>
        <w:t>Eur Urol.</w:t>
      </w:r>
      <w:r>
        <w:t xml:space="preserve"> 2016;69:592-598.</w:t>
      </w:r>
    </w:p>
    <w:p w14:paraId="667507CB" w14:textId="6B9B237E" w:rsidR="002F297D" w:rsidRDefault="00BE3F98" w:rsidP="00894572">
      <w:pPr>
        <w:pStyle w:val="References"/>
      </w:pPr>
      <w:r>
        <w:t>17</w:t>
      </w:r>
      <w:r w:rsidR="002F297D">
        <w:t xml:space="preserve">. </w:t>
      </w:r>
      <w:r w:rsidR="002F297D">
        <w:tab/>
        <w:t xml:space="preserve">Choy B, Pearce SM, Anderson BB, et al. Prognostic significance of percentages and architectural types of contemporary Gleason pattern 4 prostate cancer in radical prostatectomy. </w:t>
      </w:r>
      <w:r w:rsidR="002F297D" w:rsidRPr="00CF1477">
        <w:rPr>
          <w:i/>
        </w:rPr>
        <w:t xml:space="preserve">Am J Surg </w:t>
      </w:r>
      <w:proofErr w:type="spellStart"/>
      <w:r w:rsidR="002F297D" w:rsidRPr="00CF1477">
        <w:rPr>
          <w:i/>
        </w:rPr>
        <w:t>Pathol</w:t>
      </w:r>
      <w:proofErr w:type="spellEnd"/>
      <w:r w:rsidR="002F297D">
        <w:t xml:space="preserve">. 2016;40:1400-6. </w:t>
      </w:r>
    </w:p>
    <w:p w14:paraId="32B8EAE3" w14:textId="5309499E" w:rsidR="002F297D" w:rsidRDefault="00BE3F98" w:rsidP="00894572">
      <w:pPr>
        <w:pStyle w:val="References"/>
      </w:pPr>
      <w:r>
        <w:t>18</w:t>
      </w:r>
      <w:r w:rsidR="002F297D">
        <w:t>.</w:t>
      </w:r>
      <w:r w:rsidR="002F297D">
        <w:tab/>
      </w:r>
      <w:proofErr w:type="spellStart"/>
      <w:r w:rsidR="002F297D">
        <w:t>Morash</w:t>
      </w:r>
      <w:proofErr w:type="spellEnd"/>
      <w:r w:rsidR="002F297D">
        <w:t xml:space="preserve"> C, </w:t>
      </w:r>
      <w:proofErr w:type="spellStart"/>
      <w:r w:rsidR="002F297D">
        <w:t>Tey</w:t>
      </w:r>
      <w:proofErr w:type="spellEnd"/>
      <w:r w:rsidR="002F297D">
        <w:t xml:space="preserve"> R, </w:t>
      </w:r>
      <w:proofErr w:type="spellStart"/>
      <w:r w:rsidR="002F297D">
        <w:t>Agbassi</w:t>
      </w:r>
      <w:proofErr w:type="spellEnd"/>
      <w:r w:rsidR="002F297D">
        <w:t xml:space="preserve"> C, Klotz L, McGowan T, Srigley A, Evans A. Active surveillance for the management of localized prostate cancer: guideline recommendations. </w:t>
      </w:r>
      <w:r w:rsidR="002F297D" w:rsidRPr="0062185C">
        <w:rPr>
          <w:i/>
        </w:rPr>
        <w:t xml:space="preserve">Can </w:t>
      </w:r>
      <w:proofErr w:type="spellStart"/>
      <w:r w:rsidR="002F297D" w:rsidRPr="0062185C">
        <w:rPr>
          <w:i/>
        </w:rPr>
        <w:t>Urol</w:t>
      </w:r>
      <w:proofErr w:type="spellEnd"/>
      <w:r w:rsidR="002F297D" w:rsidRPr="0062185C">
        <w:rPr>
          <w:i/>
        </w:rPr>
        <w:t xml:space="preserve"> J Assoc</w:t>
      </w:r>
      <w:r w:rsidR="002F297D">
        <w:t>. 2015;9(5-6):171-178.</w:t>
      </w:r>
    </w:p>
    <w:p w14:paraId="7B17CEC4" w14:textId="6B8B042D" w:rsidR="002F297D" w:rsidRDefault="00BE3F98" w:rsidP="00894572">
      <w:pPr>
        <w:pStyle w:val="References"/>
      </w:pPr>
      <w:r>
        <w:t>19</w:t>
      </w:r>
      <w:r w:rsidR="002F297D">
        <w:t>.</w:t>
      </w:r>
      <w:r w:rsidR="002F297D">
        <w:tab/>
        <w:t xml:space="preserve">Chen RC, Rumble RB, Loblaw DA, et al. Active surveillance for the management of localized prostate cancer (Cancer Care Ontario Guideline): American Society of Clinical Oncology practice guideline endorsement. </w:t>
      </w:r>
      <w:r w:rsidR="002F297D" w:rsidRPr="0062185C">
        <w:rPr>
          <w:i/>
        </w:rPr>
        <w:t xml:space="preserve">J Clin Oncol. </w:t>
      </w:r>
      <w:r w:rsidR="002F297D">
        <w:t>2016;34(18):2182-2190.</w:t>
      </w:r>
    </w:p>
    <w:p w14:paraId="1100774E" w14:textId="77777777" w:rsidR="002F297D" w:rsidRDefault="002F297D" w:rsidP="002B3750"/>
    <w:p w14:paraId="3ADFC86A" w14:textId="3CE117C8" w:rsidR="00DD092D" w:rsidRDefault="00AF5698" w:rsidP="002B3750">
      <w:pPr>
        <w:pStyle w:val="Heading2"/>
      </w:pPr>
      <w:r>
        <w:t>D</w:t>
      </w:r>
      <w:r w:rsidR="00DD092D">
        <w:t>.</w:t>
      </w:r>
      <w:r w:rsidR="00DD092D">
        <w:tab/>
        <w:t xml:space="preserve">Intraductal Carcinoma </w:t>
      </w:r>
      <w:r w:rsidR="005E2FC8">
        <w:t>(</w:t>
      </w:r>
      <w:r w:rsidR="00DD092D">
        <w:t>IDC</w:t>
      </w:r>
      <w:r w:rsidR="005E2FC8">
        <w:t>)</w:t>
      </w:r>
    </w:p>
    <w:p w14:paraId="36186E03" w14:textId="3CFFDFD8" w:rsidR="00DD092D" w:rsidRDefault="00EF7536" w:rsidP="002B3750">
      <w:r>
        <w:t xml:space="preserve">The presence of intraductal carcinoma (IDC) is important to record since it has independent prognostic significance. Intraductal carcinoma is uncommon in needle biopsies and when present is usually found within </w:t>
      </w:r>
      <w:r w:rsidR="0083006C">
        <w:t>invasive tumor</w:t>
      </w:r>
      <w:r>
        <w:t>.</w:t>
      </w:r>
      <w:r w:rsidR="002F297D">
        <w:rPr>
          <w:vertAlign w:val="superscript"/>
        </w:rPr>
        <w:t>1</w:t>
      </w:r>
      <w:r w:rsidR="006C4398">
        <w:rPr>
          <w:vertAlign w:val="superscript"/>
        </w:rPr>
        <w:t>-</w:t>
      </w:r>
      <w:r w:rsidR="002F297D">
        <w:rPr>
          <w:vertAlign w:val="superscript"/>
        </w:rPr>
        <w:t>3</w:t>
      </w:r>
      <w:r>
        <w:t xml:space="preserve"> </w:t>
      </w:r>
      <w:r w:rsidR="009F0D90">
        <w:t xml:space="preserve">It is important to distinguish IDC from high-grade prostatic intraepithelial neoplasia. </w:t>
      </w:r>
      <w:r w:rsidR="00083A3A">
        <w:t>The d</w:t>
      </w:r>
      <w:r w:rsidR="009F0D90">
        <w:t xml:space="preserve">ifferential diagnosis </w:t>
      </w:r>
      <w:r w:rsidR="00083A3A">
        <w:t xml:space="preserve">of IDC </w:t>
      </w:r>
      <w:r w:rsidR="009F0D90">
        <w:t xml:space="preserve">is beyond the scope of this protocol. </w:t>
      </w:r>
    </w:p>
    <w:p w14:paraId="62414B52" w14:textId="77777777" w:rsidR="009F0D90" w:rsidRDefault="009F0D90" w:rsidP="002B3750"/>
    <w:p w14:paraId="7DF367A5" w14:textId="61D6C11C" w:rsidR="009F0D90" w:rsidRDefault="009F0D90" w:rsidP="002B3750">
      <w:r>
        <w:t xml:space="preserve">Intraductal carcinoma </w:t>
      </w:r>
      <w:r w:rsidR="00296FCF">
        <w:t xml:space="preserve">may </w:t>
      </w:r>
      <w:r>
        <w:t xml:space="preserve">also be recorded in </w:t>
      </w:r>
      <w:r w:rsidR="002A494E">
        <w:t>TURP specimens</w:t>
      </w:r>
      <w:r>
        <w:t xml:space="preserve">. IDC is </w:t>
      </w:r>
      <w:r w:rsidR="002A494E">
        <w:t xml:space="preserve">in needle biopsies is </w:t>
      </w:r>
      <w:r>
        <w:t>strongly associated with high Gleason score</w:t>
      </w:r>
      <w:r w:rsidR="0083006C">
        <w:t xml:space="preserve"> and</w:t>
      </w:r>
      <w:r>
        <w:t xml:space="preserve"> </w:t>
      </w:r>
      <w:proofErr w:type="gramStart"/>
      <w:r>
        <w:t>high volume</w:t>
      </w:r>
      <w:proofErr w:type="gramEnd"/>
      <w:r>
        <w:t xml:space="preserve"> </w:t>
      </w:r>
      <w:r w:rsidR="0083006C">
        <w:t xml:space="preserve">tumor </w:t>
      </w:r>
      <w:r>
        <w:t>in radical prostatectomies and with metastatic disease.</w:t>
      </w:r>
      <w:r w:rsidR="002F297D">
        <w:rPr>
          <w:vertAlign w:val="superscript"/>
        </w:rPr>
        <w:t>3</w:t>
      </w:r>
      <w:r w:rsidR="006C4398">
        <w:rPr>
          <w:vertAlign w:val="superscript"/>
        </w:rPr>
        <w:t>-</w:t>
      </w:r>
      <w:r w:rsidR="002F297D">
        <w:rPr>
          <w:vertAlign w:val="superscript"/>
        </w:rPr>
        <w:t>5</w:t>
      </w:r>
      <w:r>
        <w:t xml:space="preserve"> At the </w:t>
      </w:r>
      <w:r w:rsidR="0083006C">
        <w:t xml:space="preserve">2014 ISUP </w:t>
      </w:r>
      <w:r w:rsidR="005E2FC8">
        <w:t>consensus conference</w:t>
      </w:r>
      <w:r w:rsidR="0017251A">
        <w:t>,</w:t>
      </w:r>
      <w:r w:rsidR="005E2FC8">
        <w:t xml:space="preserve"> </w:t>
      </w:r>
      <w:r>
        <w:t xml:space="preserve">it was agreed that Gleason </w:t>
      </w:r>
      <w:r w:rsidR="00366DF3">
        <w:t xml:space="preserve">scores </w:t>
      </w:r>
      <w:r>
        <w:t>or grade groups (ISUP grade</w:t>
      </w:r>
      <w:r w:rsidR="0083006C">
        <w:t>s</w:t>
      </w:r>
      <w:r>
        <w:t>) should not be assigned to IDC.</w:t>
      </w:r>
      <w:r w:rsidR="00F14D81">
        <w:rPr>
          <w:vertAlign w:val="superscript"/>
        </w:rPr>
        <w:t>6</w:t>
      </w:r>
      <w:r>
        <w:t xml:space="preserve"> </w:t>
      </w:r>
    </w:p>
    <w:p w14:paraId="7DDC237E" w14:textId="77777777" w:rsidR="00EF7536" w:rsidRDefault="00EF7536" w:rsidP="002B3750"/>
    <w:p w14:paraId="5C13FB73" w14:textId="014DED3A" w:rsidR="002F297D" w:rsidRPr="00CA7474" w:rsidRDefault="002F297D" w:rsidP="002F297D">
      <w:pPr>
        <w:pStyle w:val="Heading1"/>
        <w:rPr>
          <w:b w:val="0"/>
        </w:rPr>
      </w:pPr>
      <w:r w:rsidRPr="00CA7474">
        <w:rPr>
          <w:b w:val="0"/>
        </w:rPr>
        <w:t>References</w:t>
      </w:r>
      <w:r w:rsidR="007D561C">
        <w:rPr>
          <w:b w:val="0"/>
        </w:rPr>
        <w:t>:</w:t>
      </w:r>
      <w:r w:rsidRPr="00CA7474">
        <w:rPr>
          <w:b w:val="0"/>
        </w:rPr>
        <w:t xml:space="preserve"> </w:t>
      </w:r>
    </w:p>
    <w:p w14:paraId="65E0D48A" w14:textId="186FFE03" w:rsidR="002F297D" w:rsidRDefault="002F297D" w:rsidP="00894572">
      <w:pPr>
        <w:pStyle w:val="References"/>
        <w:ind w:left="360" w:hanging="360"/>
      </w:pPr>
      <w:r>
        <w:t>1.</w:t>
      </w:r>
      <w:r>
        <w:tab/>
        <w:t xml:space="preserve">Guo CC and Epstein JI. Intraductal carcinoma of the prostate on needle biopsy: Histologic features and clinical significance. </w:t>
      </w:r>
      <w:r w:rsidRPr="0062185C">
        <w:rPr>
          <w:i/>
        </w:rPr>
        <w:t xml:space="preserve">Mod </w:t>
      </w:r>
      <w:proofErr w:type="spellStart"/>
      <w:r w:rsidRPr="0062185C">
        <w:rPr>
          <w:i/>
        </w:rPr>
        <w:t>Pathol</w:t>
      </w:r>
      <w:proofErr w:type="spellEnd"/>
      <w:r>
        <w:t>. 2006;19(12):1528-1535.</w:t>
      </w:r>
    </w:p>
    <w:p w14:paraId="7D469496" w14:textId="1B7070FD" w:rsidR="002F297D" w:rsidRDefault="002F297D" w:rsidP="00894572">
      <w:pPr>
        <w:pStyle w:val="References"/>
        <w:ind w:left="360" w:hanging="360"/>
      </w:pPr>
      <w:r>
        <w:t>2.</w:t>
      </w:r>
      <w:r>
        <w:tab/>
        <w:t xml:space="preserve">Cohen RJ, Wheeler TM, </w:t>
      </w:r>
      <w:proofErr w:type="spellStart"/>
      <w:r>
        <w:t>Bonkhoff</w:t>
      </w:r>
      <w:proofErr w:type="spellEnd"/>
      <w:r>
        <w:t xml:space="preserve"> H and Rubin MA. A proposal on the identification, histologic reporting, and implications of intraductal prostatic carcinoma. </w:t>
      </w:r>
      <w:r w:rsidRPr="0062185C">
        <w:rPr>
          <w:i/>
        </w:rPr>
        <w:t xml:space="preserve">Arch </w:t>
      </w:r>
      <w:proofErr w:type="spellStart"/>
      <w:r w:rsidRPr="0062185C">
        <w:rPr>
          <w:i/>
        </w:rPr>
        <w:t>Pathol</w:t>
      </w:r>
      <w:proofErr w:type="spellEnd"/>
      <w:r w:rsidRPr="0062185C">
        <w:rPr>
          <w:i/>
        </w:rPr>
        <w:t xml:space="preserve"> Lab Med</w:t>
      </w:r>
      <w:r>
        <w:rPr>
          <w:i/>
        </w:rPr>
        <w:t>.</w:t>
      </w:r>
      <w:r>
        <w:t xml:space="preserve"> 2007;131(7):1103-1109.</w:t>
      </w:r>
    </w:p>
    <w:p w14:paraId="17BF3242" w14:textId="43AB60B8" w:rsidR="002F297D" w:rsidRDefault="002F297D" w:rsidP="00894572">
      <w:pPr>
        <w:pStyle w:val="References"/>
        <w:ind w:left="360" w:hanging="360"/>
      </w:pPr>
      <w:r>
        <w:t>3.</w:t>
      </w:r>
      <w:r>
        <w:tab/>
        <w:t xml:space="preserve">Zhou M. Intraductal carcinoma of the prostate: the whole story. </w:t>
      </w:r>
      <w:r w:rsidRPr="0062185C">
        <w:rPr>
          <w:i/>
        </w:rPr>
        <w:t>Pathology</w:t>
      </w:r>
      <w:r>
        <w:t>. 2013;45(6):533-539.</w:t>
      </w:r>
    </w:p>
    <w:p w14:paraId="1CF7D9E2" w14:textId="20AA3F46" w:rsidR="002F297D" w:rsidRDefault="002F297D" w:rsidP="00894572">
      <w:pPr>
        <w:pStyle w:val="References"/>
        <w:ind w:left="360" w:hanging="360"/>
      </w:pPr>
      <w:r>
        <w:t>4.</w:t>
      </w:r>
      <w:r>
        <w:tab/>
        <w:t xml:space="preserve">Zhao T, Liao B, Yao J, et al. Is there any prognostic impact of intraductal carcinoma of prostate in initial diagnosed aggressively metastatic prostate cancer? </w:t>
      </w:r>
      <w:r w:rsidRPr="0062185C">
        <w:rPr>
          <w:i/>
        </w:rPr>
        <w:t>Prostate</w:t>
      </w:r>
      <w:r>
        <w:rPr>
          <w:i/>
        </w:rPr>
        <w:t>.</w:t>
      </w:r>
      <w:r>
        <w:t xml:space="preserve"> 2015;75(3):225-232.</w:t>
      </w:r>
    </w:p>
    <w:p w14:paraId="6B6E66A6" w14:textId="3E4A1E65" w:rsidR="002F297D" w:rsidRDefault="002F297D" w:rsidP="00894572">
      <w:pPr>
        <w:pStyle w:val="References"/>
        <w:ind w:left="360" w:hanging="360"/>
      </w:pPr>
      <w:r>
        <w:t>5.</w:t>
      </w:r>
      <w:r>
        <w:tab/>
        <w:t xml:space="preserve">Van der Kwast T, Al Daoud N, Collette L, et al. Biopsy diagnosis of intraductal carcinoma is prognostic in intermediate and </w:t>
      </w:r>
      <w:proofErr w:type="gramStart"/>
      <w:r>
        <w:t>high risk</w:t>
      </w:r>
      <w:proofErr w:type="gramEnd"/>
      <w:r>
        <w:t xml:space="preserve"> prostate cancer patients treated by radiotherapy. </w:t>
      </w:r>
      <w:r w:rsidRPr="0062185C">
        <w:rPr>
          <w:i/>
        </w:rPr>
        <w:t>Eur J Cancer.</w:t>
      </w:r>
      <w:r>
        <w:t xml:space="preserve"> 2012;48(9):1318-1325.</w:t>
      </w:r>
    </w:p>
    <w:p w14:paraId="1E1B8B5B" w14:textId="1F4A5EBA" w:rsidR="00B54B7B" w:rsidRDefault="00F14D81" w:rsidP="00894572">
      <w:pPr>
        <w:pStyle w:val="References"/>
        <w:ind w:left="360" w:hanging="360"/>
      </w:pPr>
      <w:r>
        <w:t>6</w:t>
      </w:r>
      <w:r w:rsidR="00B54B7B">
        <w:t>.</w:t>
      </w:r>
      <w:r w:rsidR="00B54B7B">
        <w:tab/>
        <w:t xml:space="preserve">Epstein JI, Egevad L, Amin MB, Delahunt B, Srigley JR, Humphrey PA; and the Grading Committee The 2014 International Society of Urological Pathology (ISUP) Consensus Conference on Gleason Grading of Prostatic Carcinoma: definition of grading patterns and proposal for a new grading system. </w:t>
      </w:r>
      <w:r w:rsidR="00B54B7B" w:rsidRPr="0062185C">
        <w:rPr>
          <w:i/>
        </w:rPr>
        <w:t xml:space="preserve">Am J Surg </w:t>
      </w:r>
      <w:proofErr w:type="spellStart"/>
      <w:r w:rsidR="00B54B7B" w:rsidRPr="0062185C">
        <w:rPr>
          <w:i/>
        </w:rPr>
        <w:t>Pathol</w:t>
      </w:r>
      <w:proofErr w:type="spellEnd"/>
      <w:r w:rsidR="00B54B7B">
        <w:rPr>
          <w:i/>
        </w:rPr>
        <w:t>.</w:t>
      </w:r>
      <w:r w:rsidR="00B54B7B">
        <w:t xml:space="preserve"> 2016; 40: 244-252.</w:t>
      </w:r>
    </w:p>
    <w:p w14:paraId="25D859FD" w14:textId="77777777" w:rsidR="002F297D" w:rsidRPr="00DD092D" w:rsidRDefault="002F297D" w:rsidP="00894572"/>
    <w:p w14:paraId="014A910A" w14:textId="7DADAAEC" w:rsidR="00797D93" w:rsidRPr="00261F53" w:rsidRDefault="00B50713" w:rsidP="002B3750">
      <w:pPr>
        <w:pStyle w:val="Heading2"/>
      </w:pPr>
      <w:r>
        <w:t>E</w:t>
      </w:r>
      <w:r w:rsidR="002E4C1E">
        <w:t xml:space="preserve">.  </w:t>
      </w:r>
      <w:r w:rsidR="00797D93" w:rsidRPr="00261F53">
        <w:t>Quantitation of Tumor</w:t>
      </w:r>
    </w:p>
    <w:p w14:paraId="47B842A0" w14:textId="66E1C793" w:rsidR="00D36A4B" w:rsidRDefault="00B84351" w:rsidP="002B3750">
      <w:r>
        <w:t>Studies have shown prostate cancer volume is a prognostic factor</w:t>
      </w:r>
      <w:r w:rsidR="0017251A">
        <w:t>,</w:t>
      </w:r>
      <w:r>
        <w:t xml:space="preserve"> although</w:t>
      </w:r>
      <w:r w:rsidRPr="00B84351">
        <w:t xml:space="preserve"> </w:t>
      </w:r>
      <w:r>
        <w:t>t</w:t>
      </w:r>
      <w:r w:rsidRPr="00B84351">
        <w:t xml:space="preserve">he data are conflicting as to </w:t>
      </w:r>
      <w:r>
        <w:t>its</w:t>
      </w:r>
      <w:r w:rsidRPr="00B84351">
        <w:t xml:space="preserve"> independent prognostic significance</w:t>
      </w:r>
      <w:r>
        <w:t xml:space="preserve">. </w:t>
      </w:r>
    </w:p>
    <w:p w14:paraId="02E0C863" w14:textId="7885E88A" w:rsidR="00797D93" w:rsidRPr="00261F53" w:rsidRDefault="002E4C1E" w:rsidP="002B3750">
      <w:r w:rsidRPr="002E4C1E">
        <w:t xml:space="preserve">The designation of the percentage of </w:t>
      </w:r>
      <w:r w:rsidR="00724821">
        <w:t>cancer</w:t>
      </w:r>
      <w:r w:rsidR="00724821" w:rsidRPr="002E4C1E">
        <w:t xml:space="preserve"> </w:t>
      </w:r>
      <w:r w:rsidRPr="002E4C1E">
        <w:t>tissue in transurethral samples is important. When prostate cance</w:t>
      </w:r>
      <w:r>
        <w:t>r is discovered incidentally (i</w:t>
      </w:r>
      <w:r w:rsidRPr="002E4C1E">
        <w:t>e</w:t>
      </w:r>
      <w:r>
        <w:t>,</w:t>
      </w:r>
      <w:r w:rsidRPr="002E4C1E">
        <w:t xml:space="preserve"> discovered in specimens submitted for clinically benign disease, usually </w:t>
      </w:r>
      <w:r w:rsidR="008F2D91">
        <w:t>benign prostatic hyperplasia [</w:t>
      </w:r>
      <w:r w:rsidRPr="002E4C1E">
        <w:t>BPH</w:t>
      </w:r>
      <w:r w:rsidR="008F2D91">
        <w:t>]</w:t>
      </w:r>
      <w:r w:rsidRPr="002E4C1E">
        <w:t>)</w:t>
      </w:r>
      <w:r>
        <w:t>,</w:t>
      </w:r>
      <w:r w:rsidRPr="002E4C1E">
        <w:t xml:space="preserve"> the percentage involvement is used t</w:t>
      </w:r>
      <w:r>
        <w:t>o determine the clinical T1 sub</w:t>
      </w:r>
      <w:r w:rsidRPr="002E4C1E">
        <w:t>stage</w:t>
      </w:r>
      <w:r>
        <w:t>,</w:t>
      </w:r>
      <w:r w:rsidR="00DF02B2">
        <w:t xml:space="preserve"> </w:t>
      </w:r>
      <w:r w:rsidRPr="002E4C1E">
        <w:t xml:space="preserve">with </w:t>
      </w:r>
      <w:r w:rsidR="007D561C">
        <w:t xml:space="preserve">less than or equal to </w:t>
      </w:r>
      <w:r>
        <w:t xml:space="preserve">5% involvement being T1a and </w:t>
      </w:r>
      <w:r w:rsidR="007D561C">
        <w:t xml:space="preserve">greater than </w:t>
      </w:r>
      <w:r w:rsidR="00237677">
        <w:t>5%</w:t>
      </w:r>
      <w:r w:rsidR="00B54B7B">
        <w:t xml:space="preserve"> </w:t>
      </w:r>
      <w:r w:rsidRPr="002E4C1E">
        <w:t xml:space="preserve">being T1b. </w:t>
      </w:r>
      <w:r w:rsidR="00797D93" w:rsidRPr="00261F53">
        <w:t>In subtotal and radical prostatectomy specimens, the percentage of tissue involved by tumor can also be “eyeballed” by simple visual inspection.</w:t>
      </w:r>
      <w:r w:rsidR="000F4819">
        <w:rPr>
          <w:vertAlign w:val="superscript"/>
        </w:rPr>
        <w:t>8</w:t>
      </w:r>
      <w:r w:rsidR="00237677">
        <w:t xml:space="preserve"> </w:t>
      </w:r>
      <w:r w:rsidR="00797D93" w:rsidRPr="00261F53">
        <w:t>Additionally, in these latter specimens, it may be possible to measure a dominant tumor nodule in at least 2 dimensions</w:t>
      </w:r>
      <w:r w:rsidR="000F4819">
        <w:rPr>
          <w:vertAlign w:val="superscript"/>
        </w:rPr>
        <w:t>9</w:t>
      </w:r>
      <w:r w:rsidR="00797D93" w:rsidRPr="00261F53">
        <w:t xml:space="preserve"> and/or to indicate the number of blocks involved by tumor out of the total number of prostatic blocks submitted.</w:t>
      </w:r>
    </w:p>
    <w:p w14:paraId="04742814" w14:textId="77777777" w:rsidR="00797D93" w:rsidRDefault="00797D93" w:rsidP="002B3750"/>
    <w:p w14:paraId="187A1496" w14:textId="77777777" w:rsidR="00B54B7B" w:rsidRPr="00261F53" w:rsidRDefault="00B54B7B" w:rsidP="006E413D">
      <w:r w:rsidRPr="00261F53">
        <w:t xml:space="preserve">References </w:t>
      </w:r>
    </w:p>
    <w:p w14:paraId="7CF3D3A0" w14:textId="2F14CC64" w:rsidR="00CE34EA" w:rsidRDefault="000F4819" w:rsidP="00894572">
      <w:pPr>
        <w:pStyle w:val="References"/>
        <w:ind w:left="360" w:hanging="360"/>
      </w:pPr>
      <w:r>
        <w:t>1</w:t>
      </w:r>
      <w:r w:rsidR="00CE34EA">
        <w:t>.</w:t>
      </w:r>
      <w:r w:rsidR="00CE34EA">
        <w:tab/>
      </w:r>
      <w:proofErr w:type="spellStart"/>
      <w:r w:rsidR="00CE34EA">
        <w:t>Bismar</w:t>
      </w:r>
      <w:proofErr w:type="spellEnd"/>
      <w:r w:rsidR="00CE34EA">
        <w:t xml:space="preserve"> TA, Lewis JS, JR, Vollmer RT, Humphrey PA. Multiple measures of carcinoma extent versus perineural invasion in prostate needle biopsy tissue in prediction of pathologic stage in a screening population. </w:t>
      </w:r>
      <w:r w:rsidR="00CE34EA" w:rsidRPr="0062185C">
        <w:rPr>
          <w:i/>
        </w:rPr>
        <w:t xml:space="preserve">Am J Surg </w:t>
      </w:r>
      <w:proofErr w:type="spellStart"/>
      <w:r w:rsidR="00CE34EA" w:rsidRPr="0062185C">
        <w:rPr>
          <w:i/>
        </w:rPr>
        <w:t>Pathol</w:t>
      </w:r>
      <w:proofErr w:type="spellEnd"/>
      <w:r w:rsidR="00CE34EA">
        <w:t>. 2003;27:432-440.</w:t>
      </w:r>
    </w:p>
    <w:p w14:paraId="310A8920" w14:textId="4BF1F28B" w:rsidR="00CE34EA" w:rsidRDefault="00CE34EA" w:rsidP="00894572">
      <w:pPr>
        <w:pStyle w:val="References"/>
        <w:ind w:left="360" w:hanging="360"/>
      </w:pPr>
      <w:r>
        <w:t>2.</w:t>
      </w:r>
      <w:r>
        <w:tab/>
        <w:t xml:space="preserve">Amin M, </w:t>
      </w:r>
      <w:proofErr w:type="spellStart"/>
      <w:r>
        <w:t>Boccon-Gibod</w:t>
      </w:r>
      <w:proofErr w:type="spellEnd"/>
      <w:r>
        <w:t xml:space="preserve"> L, </w:t>
      </w:r>
      <w:proofErr w:type="spellStart"/>
      <w:r>
        <w:t>Egevad</w:t>
      </w:r>
      <w:proofErr w:type="spellEnd"/>
      <w:r>
        <w:t xml:space="preserve"> L, et al. Prognostic and predictive factors and reporting of prostate carcinoma in prostate needle biopsy specimens. (2004 WHO-sponsored International Consultation Consensus). </w:t>
      </w:r>
      <w:proofErr w:type="spellStart"/>
      <w:r w:rsidRPr="0062185C">
        <w:rPr>
          <w:i/>
        </w:rPr>
        <w:t>Scand</w:t>
      </w:r>
      <w:proofErr w:type="spellEnd"/>
      <w:r w:rsidRPr="0062185C">
        <w:rPr>
          <w:i/>
        </w:rPr>
        <w:t xml:space="preserve"> J </w:t>
      </w:r>
      <w:proofErr w:type="spellStart"/>
      <w:r w:rsidRPr="0062185C">
        <w:rPr>
          <w:i/>
        </w:rPr>
        <w:t>Urol</w:t>
      </w:r>
      <w:proofErr w:type="spellEnd"/>
      <w:r w:rsidRPr="0062185C">
        <w:rPr>
          <w:i/>
        </w:rPr>
        <w:t xml:space="preserve"> </w:t>
      </w:r>
      <w:proofErr w:type="spellStart"/>
      <w:r w:rsidRPr="0062185C">
        <w:rPr>
          <w:i/>
        </w:rPr>
        <w:t>Nephrol</w:t>
      </w:r>
      <w:proofErr w:type="spellEnd"/>
      <w:r>
        <w:t>. 2004;39(216 suppl):20-33.</w:t>
      </w:r>
    </w:p>
    <w:p w14:paraId="7C3B6EF5" w14:textId="05071F75" w:rsidR="00CE34EA" w:rsidRDefault="000F4819" w:rsidP="00894572">
      <w:pPr>
        <w:pStyle w:val="References"/>
        <w:ind w:left="360" w:hanging="360"/>
      </w:pPr>
      <w:r>
        <w:t>3</w:t>
      </w:r>
      <w:r w:rsidR="00CE34EA">
        <w:t>.</w:t>
      </w:r>
      <w:r w:rsidR="00CE34EA">
        <w:tab/>
        <w:t xml:space="preserve">Paner GP, Magi-Galluzzi C, Amin MB, Srigley JR: Adenocarcinoma of the prostate. In: Amin MB, Grignon DJ, Srigley JR, </w:t>
      </w:r>
      <w:proofErr w:type="spellStart"/>
      <w:r w:rsidR="00CE34EA">
        <w:t>Eble</w:t>
      </w:r>
      <w:proofErr w:type="spellEnd"/>
      <w:r w:rsidR="00CE34EA">
        <w:t xml:space="preserve"> </w:t>
      </w:r>
      <w:proofErr w:type="spellStart"/>
      <w:r w:rsidR="00CE34EA">
        <w:t>JN,eds</w:t>
      </w:r>
      <w:proofErr w:type="spellEnd"/>
      <w:r w:rsidR="00CE34EA">
        <w:t xml:space="preserve">. </w:t>
      </w:r>
      <w:r w:rsidR="00CE34EA" w:rsidRPr="0062185C">
        <w:rPr>
          <w:i/>
        </w:rPr>
        <w:t>Urological Pathology.</w:t>
      </w:r>
      <w:r w:rsidR="00CE34EA">
        <w:t xml:space="preserve"> Philadelphia, PA: Lippincott William &amp; Wilkins; 2014:559-673.</w:t>
      </w:r>
    </w:p>
    <w:p w14:paraId="0F1CA125" w14:textId="26F55F4B" w:rsidR="00CE34EA" w:rsidRDefault="000F4819" w:rsidP="00894572">
      <w:pPr>
        <w:pStyle w:val="References"/>
        <w:ind w:left="360" w:hanging="360"/>
      </w:pPr>
      <w:r>
        <w:t>4</w:t>
      </w:r>
      <w:r w:rsidR="00CE34EA">
        <w:t>.</w:t>
      </w:r>
      <w:r w:rsidR="00CE34EA">
        <w:tab/>
        <w:t xml:space="preserve">Amin MB, Lin DW, Gore JL, et al. The critical role of the pathologist in determining eligibility for active surveillance as a management option in patients with prostate cancer: consensus statement with recommendations supported by The College of American Pathologists, International Society of Urological Pathology, Association of Directors of Anatomical and Surgical Pathology, The New Zealand Society of Pathologists and the Prostate Cancer Foundation. </w:t>
      </w:r>
      <w:r w:rsidR="00CE34EA" w:rsidRPr="0062185C">
        <w:rPr>
          <w:i/>
        </w:rPr>
        <w:t xml:space="preserve">Arch </w:t>
      </w:r>
      <w:proofErr w:type="spellStart"/>
      <w:r w:rsidR="00CE34EA" w:rsidRPr="0062185C">
        <w:rPr>
          <w:i/>
        </w:rPr>
        <w:t>Pathol</w:t>
      </w:r>
      <w:proofErr w:type="spellEnd"/>
      <w:r w:rsidR="00CE34EA" w:rsidRPr="0062185C">
        <w:rPr>
          <w:i/>
        </w:rPr>
        <w:t xml:space="preserve"> Lab Med</w:t>
      </w:r>
      <w:r w:rsidR="00CE34EA">
        <w:rPr>
          <w:i/>
        </w:rPr>
        <w:t>.</w:t>
      </w:r>
      <w:r w:rsidR="00CE34EA">
        <w:t xml:space="preserve"> 2014;138:1387-1405.</w:t>
      </w:r>
    </w:p>
    <w:p w14:paraId="308E5C60" w14:textId="217940E9" w:rsidR="00B54B7B" w:rsidRDefault="000F4819" w:rsidP="00894572">
      <w:pPr>
        <w:pStyle w:val="References"/>
        <w:ind w:left="360" w:hanging="360"/>
      </w:pPr>
      <w:r>
        <w:t>5</w:t>
      </w:r>
      <w:r w:rsidR="00B54B7B">
        <w:t>.</w:t>
      </w:r>
      <w:r w:rsidR="00B54B7B">
        <w:tab/>
      </w:r>
      <w:r w:rsidR="00B54B7B" w:rsidRPr="005E6C00">
        <w:t>Arias-Stella JA 3rd, Varma KR, Montoya-</w:t>
      </w:r>
      <w:proofErr w:type="spellStart"/>
      <w:r w:rsidR="00B54B7B" w:rsidRPr="005E6C00">
        <w:t>Cerrillo</w:t>
      </w:r>
      <w:proofErr w:type="spellEnd"/>
      <w:r w:rsidR="00B54B7B" w:rsidRPr="005E6C00">
        <w:t xml:space="preserve"> D, Gupta NS, Williamson SR. Does discontinuous involvement of a prostatic needle biopsy core by adenocarcinoma correlate with a large tumor focus at radical prostatectomy? </w:t>
      </w:r>
      <w:r w:rsidR="00B54B7B" w:rsidRPr="0062185C">
        <w:rPr>
          <w:i/>
        </w:rPr>
        <w:t xml:space="preserve">Am J Surg </w:t>
      </w:r>
      <w:proofErr w:type="spellStart"/>
      <w:r w:rsidR="00B54B7B" w:rsidRPr="0062185C">
        <w:rPr>
          <w:i/>
        </w:rPr>
        <w:t>Pathol</w:t>
      </w:r>
      <w:proofErr w:type="spellEnd"/>
      <w:r w:rsidR="00B54B7B">
        <w:t>. 2015</w:t>
      </w:r>
      <w:r w:rsidR="00B54B7B" w:rsidRPr="005E6C00">
        <w:t>;39(2):281-</w:t>
      </w:r>
      <w:r w:rsidR="00B54B7B">
        <w:t>28</w:t>
      </w:r>
      <w:r w:rsidR="00B54B7B" w:rsidRPr="005E6C00">
        <w:t>6.</w:t>
      </w:r>
    </w:p>
    <w:p w14:paraId="607A9216" w14:textId="3A313DB6" w:rsidR="00B54B7B" w:rsidRDefault="000F4819" w:rsidP="00894572">
      <w:pPr>
        <w:pStyle w:val="References"/>
        <w:ind w:left="360" w:hanging="360"/>
      </w:pPr>
      <w:r>
        <w:t>6</w:t>
      </w:r>
      <w:r w:rsidR="00B54B7B">
        <w:t>.</w:t>
      </w:r>
      <w:r w:rsidR="00B54B7B">
        <w:tab/>
      </w:r>
      <w:proofErr w:type="spellStart"/>
      <w:r w:rsidR="00B54B7B" w:rsidRPr="0059285B">
        <w:t>Karram</w:t>
      </w:r>
      <w:proofErr w:type="spellEnd"/>
      <w:r w:rsidR="00B54B7B" w:rsidRPr="0059285B">
        <w:t xml:space="preserve"> S, </w:t>
      </w:r>
      <w:proofErr w:type="spellStart"/>
      <w:r w:rsidR="00B54B7B" w:rsidRPr="0059285B">
        <w:t>Trock</w:t>
      </w:r>
      <w:proofErr w:type="spellEnd"/>
      <w:r w:rsidR="00B54B7B" w:rsidRPr="0059285B">
        <w:t xml:space="preserve"> BJ, </w:t>
      </w:r>
      <w:proofErr w:type="spellStart"/>
      <w:r w:rsidR="00B54B7B" w:rsidRPr="0059285B">
        <w:t>Netto</w:t>
      </w:r>
      <w:proofErr w:type="spellEnd"/>
      <w:r w:rsidR="00B54B7B" w:rsidRPr="0059285B">
        <w:t xml:space="preserve"> GJ, Epstein JI. Should intervening benign tissue be included in the measurement of discontinuous foci of cancer on prostate needle biopsy? Correlation with radical prostatectomy findings. </w:t>
      </w:r>
      <w:r w:rsidR="00B54B7B" w:rsidRPr="0062185C">
        <w:rPr>
          <w:i/>
        </w:rPr>
        <w:t xml:space="preserve">Am J Surg </w:t>
      </w:r>
      <w:proofErr w:type="spellStart"/>
      <w:r w:rsidR="00B54B7B" w:rsidRPr="0062185C">
        <w:rPr>
          <w:i/>
        </w:rPr>
        <w:t>Pathol</w:t>
      </w:r>
      <w:proofErr w:type="spellEnd"/>
      <w:r w:rsidR="00B54B7B">
        <w:t>. 2011</w:t>
      </w:r>
      <w:r w:rsidR="00B54B7B" w:rsidRPr="0059285B">
        <w:t>;35(9):1351-</w:t>
      </w:r>
      <w:r w:rsidR="00B54B7B">
        <w:t>135</w:t>
      </w:r>
      <w:r w:rsidR="00B54B7B" w:rsidRPr="0059285B">
        <w:t>5.</w:t>
      </w:r>
    </w:p>
    <w:p w14:paraId="7E68BAF3" w14:textId="00029F9D" w:rsidR="00CE34EA" w:rsidRDefault="000F4819" w:rsidP="00894572">
      <w:pPr>
        <w:pStyle w:val="References"/>
        <w:ind w:left="360" w:hanging="360"/>
      </w:pPr>
      <w:r>
        <w:lastRenderedPageBreak/>
        <w:t>7</w:t>
      </w:r>
      <w:r w:rsidR="00CE34EA">
        <w:t>.</w:t>
      </w:r>
      <w:r w:rsidR="00CE34EA">
        <w:tab/>
      </w:r>
      <w:proofErr w:type="spellStart"/>
      <w:r w:rsidR="00CE34EA">
        <w:t>Fontugne</w:t>
      </w:r>
      <w:proofErr w:type="spellEnd"/>
      <w:r w:rsidR="00CE34EA">
        <w:t xml:space="preserve"> J, Davis K, </w:t>
      </w:r>
      <w:proofErr w:type="spellStart"/>
      <w:r w:rsidR="00CE34EA">
        <w:t>Palanisamy</w:t>
      </w:r>
      <w:proofErr w:type="spellEnd"/>
      <w:r w:rsidR="00CE34EA">
        <w:t xml:space="preserve"> N, et al</w:t>
      </w:r>
      <w:r w:rsidR="00CE34EA" w:rsidRPr="006F0C2F">
        <w:t xml:space="preserve">. Clonal evaluation of prostate cancer foci in biopsies with discontinuous tumor involvement by dual ERG/SPINK1 immunohistochemistry. </w:t>
      </w:r>
      <w:r w:rsidR="00CE34EA" w:rsidRPr="0062185C">
        <w:rPr>
          <w:i/>
        </w:rPr>
        <w:t xml:space="preserve">Mod </w:t>
      </w:r>
      <w:proofErr w:type="spellStart"/>
      <w:r w:rsidR="00CE34EA" w:rsidRPr="0062185C">
        <w:rPr>
          <w:i/>
        </w:rPr>
        <w:t>Pathol</w:t>
      </w:r>
      <w:proofErr w:type="spellEnd"/>
      <w:r w:rsidR="00CE34EA">
        <w:t>. 2016</w:t>
      </w:r>
      <w:r w:rsidR="00CE34EA" w:rsidRPr="006F0C2F">
        <w:t>;29(2):157-</w:t>
      </w:r>
      <w:r w:rsidR="00CE34EA">
        <w:t>1</w:t>
      </w:r>
      <w:r w:rsidR="00CE34EA" w:rsidRPr="006F0C2F">
        <w:t xml:space="preserve">65. </w:t>
      </w:r>
    </w:p>
    <w:p w14:paraId="59432D35" w14:textId="6FFCC3B9" w:rsidR="00B54B7B" w:rsidRDefault="000F4819" w:rsidP="00894572">
      <w:pPr>
        <w:pStyle w:val="References"/>
        <w:ind w:left="360" w:hanging="360"/>
      </w:pPr>
      <w:r>
        <w:t>8</w:t>
      </w:r>
      <w:r w:rsidR="00B54B7B">
        <w:t>.</w:t>
      </w:r>
      <w:r w:rsidR="00B54B7B">
        <w:tab/>
        <w:t xml:space="preserve">van der Kwast T, Amin M, </w:t>
      </w:r>
      <w:proofErr w:type="spellStart"/>
      <w:r w:rsidR="00B54B7B">
        <w:t>Billis</w:t>
      </w:r>
      <w:proofErr w:type="spellEnd"/>
      <w:r w:rsidR="00B54B7B">
        <w:t xml:space="preserve"> A, Epstein J, et al; The ISUP prostate consensus group. International Society of Urological Pathology (ISUP) Consensus Conference on Handling of Radical Prostatectomy Specimens: working group 2: T2 substaging and prostate cancer volume. </w:t>
      </w:r>
      <w:r w:rsidR="00B54B7B" w:rsidRPr="0062185C">
        <w:rPr>
          <w:i/>
        </w:rPr>
        <w:t xml:space="preserve">Mod </w:t>
      </w:r>
      <w:proofErr w:type="spellStart"/>
      <w:r w:rsidR="00B54B7B" w:rsidRPr="0062185C">
        <w:rPr>
          <w:i/>
        </w:rPr>
        <w:t>Pathol</w:t>
      </w:r>
      <w:proofErr w:type="spellEnd"/>
      <w:r w:rsidR="00B54B7B">
        <w:rPr>
          <w:i/>
        </w:rPr>
        <w:t>.</w:t>
      </w:r>
      <w:r w:rsidR="00B54B7B">
        <w:t xml:space="preserve"> 2011;24:16-25.</w:t>
      </w:r>
    </w:p>
    <w:p w14:paraId="012A3495" w14:textId="7188C49C" w:rsidR="00B54B7B" w:rsidRDefault="000F4819" w:rsidP="00894572">
      <w:pPr>
        <w:pStyle w:val="References"/>
        <w:ind w:left="360" w:hanging="360"/>
      </w:pPr>
      <w:r>
        <w:t>9</w:t>
      </w:r>
      <w:r w:rsidR="00B54B7B">
        <w:t>.</w:t>
      </w:r>
      <w:r w:rsidR="00B54B7B">
        <w:tab/>
        <w:t xml:space="preserve">Renshaw AA, Richie JP, Loughlin KR, </w:t>
      </w:r>
      <w:proofErr w:type="spellStart"/>
      <w:r w:rsidR="00B54B7B">
        <w:t>Jiroutek</w:t>
      </w:r>
      <w:proofErr w:type="spellEnd"/>
      <w:r w:rsidR="00B54B7B">
        <w:t xml:space="preserve"> M, Chung A, D’Amico AV. Maximum diameter of prostatic carcinoma is a simple, inexpensive, and independent predictor of prostate-specific antigen failure in radical prostatectomy specimens: validation in a cohort of 434 patients. </w:t>
      </w:r>
      <w:r w:rsidR="00B54B7B" w:rsidRPr="0062185C">
        <w:rPr>
          <w:i/>
        </w:rPr>
        <w:t xml:space="preserve">Am J Clin </w:t>
      </w:r>
      <w:proofErr w:type="spellStart"/>
      <w:r w:rsidR="00B54B7B" w:rsidRPr="0062185C">
        <w:rPr>
          <w:i/>
        </w:rPr>
        <w:t>Pathol</w:t>
      </w:r>
      <w:proofErr w:type="spellEnd"/>
      <w:r w:rsidR="00B54B7B">
        <w:t>. 1999;111:641-644.</w:t>
      </w:r>
    </w:p>
    <w:p w14:paraId="0CC6A2A6" w14:textId="77777777" w:rsidR="00B54B7B" w:rsidRPr="00261F53" w:rsidRDefault="00B54B7B" w:rsidP="002B3750"/>
    <w:p w14:paraId="7CBAE589" w14:textId="7A12D931" w:rsidR="00797D93" w:rsidRPr="00261F53" w:rsidRDefault="005B4CF0" w:rsidP="002B3750">
      <w:pPr>
        <w:pStyle w:val="Heading2"/>
      </w:pPr>
      <w:r>
        <w:t>F</w:t>
      </w:r>
      <w:r w:rsidR="00797D93" w:rsidRPr="00261F53">
        <w:t>.</w:t>
      </w:r>
      <w:r w:rsidR="00797D93" w:rsidRPr="00261F53">
        <w:tab/>
        <w:t>Perineural Invasion</w:t>
      </w:r>
    </w:p>
    <w:p w14:paraId="2904AA96" w14:textId="3D8BECEB" w:rsidR="00797D93" w:rsidRPr="00261F53" w:rsidRDefault="00797D93" w:rsidP="002B3750">
      <w:r w:rsidRPr="00261F53">
        <w:t xml:space="preserve">Perineural invasion in core needle biopsies has been associated with extraprostatic extension in some correlative radical prostatectomy studies, although its exact prognostic significance remains </w:t>
      </w:r>
      <w:r w:rsidR="00D44CA3">
        <w:t>unclear</w:t>
      </w:r>
      <w:r w:rsidRPr="00261F53">
        <w:t>.</w:t>
      </w:r>
      <w:r w:rsidR="007A0C27">
        <w:rPr>
          <w:rStyle w:val="Superscript"/>
          <w:rFonts w:cs="Arial"/>
        </w:rPr>
        <w:t>1-4</w:t>
      </w:r>
      <w:r w:rsidRPr="00261F53">
        <w:t xml:space="preserve"> Perineural invasion has been found to be an independent risk factor, in some studies, for predicting an adverse outcome in patients treated with external beam radiation,</w:t>
      </w:r>
      <w:r w:rsidR="00E1646E">
        <w:rPr>
          <w:szCs w:val="22"/>
          <w:vertAlign w:val="superscript"/>
        </w:rPr>
        <w:t>36</w:t>
      </w:r>
      <w:r w:rsidR="003C3201" w:rsidRPr="00261F53">
        <w:t xml:space="preserve"> </w:t>
      </w:r>
      <w:r w:rsidRPr="00261F53">
        <w:t>but not for patients treated with brachytherapy or radical prostatectomy.</w:t>
      </w:r>
      <w:r w:rsidR="007A0C27">
        <w:rPr>
          <w:szCs w:val="22"/>
          <w:vertAlign w:val="superscript"/>
        </w:rPr>
        <w:t>5</w:t>
      </w:r>
      <w:r w:rsidR="003C3201" w:rsidRPr="00261F53">
        <w:t xml:space="preserve"> </w:t>
      </w:r>
      <w:r w:rsidRPr="00261F53">
        <w:t>The value of perineural invasion as an independent prognostic factor has been questioned in a multivariate analysis.</w:t>
      </w:r>
      <w:r w:rsidR="007A0C27">
        <w:rPr>
          <w:rStyle w:val="Superscript"/>
          <w:rFonts w:cs="Arial"/>
        </w:rPr>
        <w:t>4</w:t>
      </w:r>
      <w:r w:rsidR="00D74276">
        <w:t xml:space="preserve"> Presence of perineural invasion may also be reported in TURP specimens.</w:t>
      </w:r>
    </w:p>
    <w:p w14:paraId="33111309" w14:textId="77777777" w:rsidR="00797D93" w:rsidRDefault="00797D93" w:rsidP="002B3750"/>
    <w:p w14:paraId="7296D0EA" w14:textId="07B55FAF" w:rsidR="00B54B7B" w:rsidRPr="00261F53" w:rsidRDefault="00B54B7B" w:rsidP="006E413D">
      <w:r w:rsidRPr="00261F53">
        <w:t>References</w:t>
      </w:r>
      <w:r w:rsidR="007D561C">
        <w:t>:</w:t>
      </w:r>
    </w:p>
    <w:p w14:paraId="2A4F1431" w14:textId="4027B016" w:rsidR="005718C8" w:rsidRDefault="007A0C27" w:rsidP="00894572">
      <w:pPr>
        <w:pStyle w:val="References"/>
        <w:ind w:left="360" w:hanging="360"/>
      </w:pPr>
      <w:r>
        <w:t>1</w:t>
      </w:r>
      <w:r w:rsidR="005718C8">
        <w:t>.</w:t>
      </w:r>
      <w:r w:rsidR="005718C8">
        <w:tab/>
      </w:r>
      <w:proofErr w:type="spellStart"/>
      <w:r w:rsidR="005718C8">
        <w:t>Bismar</w:t>
      </w:r>
      <w:proofErr w:type="spellEnd"/>
      <w:r w:rsidR="005718C8">
        <w:t xml:space="preserve"> TA, Lewis JS, JR, Vollmer RT, Humphrey PA. Multiple measures of carcinoma extent versus perineural invasion in prostate needle biopsy tissue in prediction of pathologic stage in a screening population. </w:t>
      </w:r>
      <w:r w:rsidR="005718C8" w:rsidRPr="0062185C">
        <w:rPr>
          <w:i/>
        </w:rPr>
        <w:t xml:space="preserve">Am J Surg </w:t>
      </w:r>
      <w:proofErr w:type="spellStart"/>
      <w:r w:rsidR="005718C8" w:rsidRPr="0062185C">
        <w:rPr>
          <w:i/>
        </w:rPr>
        <w:t>Pathol</w:t>
      </w:r>
      <w:proofErr w:type="spellEnd"/>
      <w:r w:rsidR="005718C8">
        <w:t>. 2003;27:432-440.</w:t>
      </w:r>
    </w:p>
    <w:p w14:paraId="36C65319" w14:textId="3691F75F" w:rsidR="005718C8" w:rsidRDefault="007A0C27" w:rsidP="00894572">
      <w:pPr>
        <w:pStyle w:val="References"/>
        <w:ind w:left="360" w:hanging="360"/>
      </w:pPr>
      <w:r>
        <w:t>2</w:t>
      </w:r>
      <w:r w:rsidR="005718C8">
        <w:t>.</w:t>
      </w:r>
      <w:r w:rsidR="005718C8">
        <w:tab/>
        <w:t xml:space="preserve">Amin M, </w:t>
      </w:r>
      <w:proofErr w:type="spellStart"/>
      <w:r w:rsidR="005718C8">
        <w:t>Boccon-Gibod</w:t>
      </w:r>
      <w:proofErr w:type="spellEnd"/>
      <w:r w:rsidR="005718C8">
        <w:t xml:space="preserve"> L, </w:t>
      </w:r>
      <w:proofErr w:type="spellStart"/>
      <w:r w:rsidR="005718C8">
        <w:t>Egevad</w:t>
      </w:r>
      <w:proofErr w:type="spellEnd"/>
      <w:r w:rsidR="005718C8">
        <w:t xml:space="preserve"> L, et al. Prognostic and predictive factors and reporting of prostate carcinoma in prostate needle biopsy specimens. (2004 WHO-sponsored International Consultation Consensus). </w:t>
      </w:r>
      <w:proofErr w:type="spellStart"/>
      <w:r w:rsidR="005718C8" w:rsidRPr="0062185C">
        <w:rPr>
          <w:i/>
        </w:rPr>
        <w:t>Scand</w:t>
      </w:r>
      <w:proofErr w:type="spellEnd"/>
      <w:r w:rsidR="005718C8" w:rsidRPr="0062185C">
        <w:rPr>
          <w:i/>
        </w:rPr>
        <w:t xml:space="preserve"> J </w:t>
      </w:r>
      <w:proofErr w:type="spellStart"/>
      <w:r w:rsidR="005718C8" w:rsidRPr="0062185C">
        <w:rPr>
          <w:i/>
        </w:rPr>
        <w:t>Urol</w:t>
      </w:r>
      <w:proofErr w:type="spellEnd"/>
      <w:r w:rsidR="005718C8" w:rsidRPr="0062185C">
        <w:rPr>
          <w:i/>
        </w:rPr>
        <w:t xml:space="preserve"> </w:t>
      </w:r>
      <w:proofErr w:type="spellStart"/>
      <w:r w:rsidR="005718C8" w:rsidRPr="0062185C">
        <w:rPr>
          <w:i/>
        </w:rPr>
        <w:t>Nephrol</w:t>
      </w:r>
      <w:proofErr w:type="spellEnd"/>
      <w:r w:rsidR="005718C8">
        <w:t>. 2004;39(216 suppl):20-33.</w:t>
      </w:r>
    </w:p>
    <w:p w14:paraId="716EC1DE" w14:textId="6B85E919" w:rsidR="005718C8" w:rsidRDefault="007A0C27" w:rsidP="00894572">
      <w:pPr>
        <w:pStyle w:val="References"/>
        <w:ind w:left="360" w:hanging="360"/>
      </w:pPr>
      <w:r>
        <w:t>3</w:t>
      </w:r>
      <w:r w:rsidR="005718C8">
        <w:t>.</w:t>
      </w:r>
      <w:r w:rsidR="005718C8">
        <w:tab/>
        <w:t xml:space="preserve">Paner GP, Magi-Galluzzi C, Amin MB, Srigley JR: Adenocarcinoma of the prostate. In: Amin MB, Grignon DJ, Srigley JR, </w:t>
      </w:r>
      <w:proofErr w:type="spellStart"/>
      <w:r w:rsidR="005718C8">
        <w:t>Eble</w:t>
      </w:r>
      <w:proofErr w:type="spellEnd"/>
      <w:r w:rsidR="005718C8">
        <w:t xml:space="preserve"> </w:t>
      </w:r>
      <w:proofErr w:type="spellStart"/>
      <w:r w:rsidR="005718C8">
        <w:t>JN,eds</w:t>
      </w:r>
      <w:proofErr w:type="spellEnd"/>
      <w:r w:rsidR="005718C8">
        <w:t xml:space="preserve">. </w:t>
      </w:r>
      <w:r w:rsidR="005718C8" w:rsidRPr="0062185C">
        <w:rPr>
          <w:i/>
        </w:rPr>
        <w:t>Urological Pathology.</w:t>
      </w:r>
      <w:r w:rsidR="005718C8">
        <w:t xml:space="preserve"> Philadelphia, PA: Lippincott William &amp; Wilkins; 2014:559-673.</w:t>
      </w:r>
    </w:p>
    <w:p w14:paraId="7D1ECE75" w14:textId="38C6C6E8" w:rsidR="005718C8" w:rsidRDefault="007A0C27" w:rsidP="00894572">
      <w:pPr>
        <w:pStyle w:val="References"/>
        <w:ind w:left="360" w:hanging="360"/>
      </w:pPr>
      <w:r>
        <w:t>4</w:t>
      </w:r>
      <w:r w:rsidR="005718C8">
        <w:t>.</w:t>
      </w:r>
      <w:r w:rsidR="005718C8">
        <w:tab/>
      </w:r>
      <w:proofErr w:type="spellStart"/>
      <w:r w:rsidR="005718C8">
        <w:t>Harnden</w:t>
      </w:r>
      <w:proofErr w:type="spellEnd"/>
      <w:r w:rsidR="005718C8">
        <w:t xml:space="preserve"> P, Shelley MD, Clements H, et al. The prognostic significance of perineural invasion in prostatic carcinoma biopsies: a systematic review.  </w:t>
      </w:r>
      <w:r w:rsidR="005718C8" w:rsidRPr="0062185C">
        <w:rPr>
          <w:i/>
        </w:rPr>
        <w:t>Cancer.</w:t>
      </w:r>
      <w:r w:rsidR="005718C8">
        <w:t xml:space="preserve"> 2007;109:13-24.  </w:t>
      </w:r>
    </w:p>
    <w:p w14:paraId="2B982D36" w14:textId="65272E66" w:rsidR="005718C8" w:rsidRDefault="007A0C27" w:rsidP="00894572">
      <w:pPr>
        <w:pStyle w:val="References"/>
        <w:ind w:left="360" w:hanging="360"/>
      </w:pPr>
      <w:r>
        <w:t>5</w:t>
      </w:r>
      <w:r w:rsidR="005718C8">
        <w:t>.</w:t>
      </w:r>
      <w:r w:rsidR="005718C8">
        <w:tab/>
        <w:t xml:space="preserve">O’Malley KJ, Pound CR, Walsh PC, Epstein JI, Partin AW.  Influence of biopsy perineural invasion on long-term biochemical disease-free survival after radical prostatectomy. </w:t>
      </w:r>
      <w:r w:rsidR="005718C8" w:rsidRPr="0062185C">
        <w:rPr>
          <w:i/>
        </w:rPr>
        <w:t>Urology</w:t>
      </w:r>
      <w:r w:rsidR="005718C8">
        <w:t>. 2002;59:85-90.</w:t>
      </w:r>
    </w:p>
    <w:p w14:paraId="23A7ACA4" w14:textId="77777777" w:rsidR="00B54B7B" w:rsidRPr="00261F53" w:rsidRDefault="00B54B7B" w:rsidP="002B3750"/>
    <w:p w14:paraId="3114123E" w14:textId="1FCD392F" w:rsidR="00797D93" w:rsidRPr="00261F53" w:rsidRDefault="005B4CF0" w:rsidP="002B3750">
      <w:pPr>
        <w:pStyle w:val="Heading2"/>
      </w:pPr>
      <w:r>
        <w:t>G</w:t>
      </w:r>
      <w:r w:rsidR="00747A4F">
        <w:t xml:space="preserve">.  </w:t>
      </w:r>
      <w:r w:rsidR="00797D93" w:rsidRPr="00261F53">
        <w:t>Prostatic Intraepithelial Neoplasia</w:t>
      </w:r>
    </w:p>
    <w:p w14:paraId="6A0CA36C" w14:textId="1C43F516" w:rsidR="00797D93" w:rsidRPr="00261F53" w:rsidRDefault="00797D93" w:rsidP="002B3750">
      <w:r w:rsidRPr="00261F53">
        <w:t xml:space="preserve">The diagnostic term </w:t>
      </w:r>
      <w:r w:rsidRPr="008F2D91">
        <w:rPr>
          <w:i/>
        </w:rPr>
        <w:t>prostatic intraepithelial neoplasia</w:t>
      </w:r>
      <w:r w:rsidRPr="00261F53">
        <w:t xml:space="preserve"> (PIN), unless qualified, refers to high-grade PIN. Low-grade PIN is not reported. The presence of an isolated PIN (PIN in the absence of carcinoma) should be reported in </w:t>
      </w:r>
      <w:r w:rsidR="000C7FD2">
        <w:t>TURP</w:t>
      </w:r>
      <w:r w:rsidR="000C7FD2" w:rsidRPr="00261F53">
        <w:t xml:space="preserve"> </w:t>
      </w:r>
      <w:r w:rsidRPr="00261F53">
        <w:t>specimens.</w:t>
      </w:r>
      <w:r w:rsidR="007A0C27">
        <w:rPr>
          <w:vertAlign w:val="superscript"/>
        </w:rPr>
        <w:t>1</w:t>
      </w:r>
      <w:r w:rsidR="00237677">
        <w:t xml:space="preserve"> </w:t>
      </w:r>
      <w:r w:rsidRPr="00261F53">
        <w:t>High-grade PIN in a biopsy without evidence of carcinoma has in the past been a risk factor for the presence of carcinoma on subsequent biopsies, but the magnitude of the risk has diminished, and, in some studies, high-grade PIN was not a risk factor at all</w:t>
      </w:r>
      <w:r w:rsidR="008B78D2">
        <w:t>.</w:t>
      </w:r>
      <w:r w:rsidR="007A0C27">
        <w:rPr>
          <w:vertAlign w:val="superscript"/>
        </w:rPr>
        <w:t>2,3</w:t>
      </w:r>
      <w:r w:rsidRPr="00261F53">
        <w:t xml:space="preserve"> </w:t>
      </w:r>
      <w:r w:rsidR="008B78D2">
        <w:t>More recent data suggests that if high</w:t>
      </w:r>
      <w:r w:rsidR="008F2D91">
        <w:t>-</w:t>
      </w:r>
      <w:r w:rsidR="008B78D2">
        <w:t>grade P</w:t>
      </w:r>
      <w:r w:rsidR="00083A3A">
        <w:t>IN</w:t>
      </w:r>
      <w:r w:rsidR="008B78D2">
        <w:t xml:space="preserve"> is present in 2 or more sites, there is an increased risk of detecting carcinoma in </w:t>
      </w:r>
      <w:r w:rsidR="00083A3A">
        <w:t>subsequent biopsies</w:t>
      </w:r>
      <w:r w:rsidR="008B78D2">
        <w:t>.</w:t>
      </w:r>
      <w:r w:rsidR="007A0C27">
        <w:rPr>
          <w:vertAlign w:val="superscript"/>
        </w:rPr>
        <w:t>4-5</w:t>
      </w:r>
      <w:r w:rsidR="008B78D2">
        <w:rPr>
          <w:vertAlign w:val="superscript"/>
        </w:rPr>
        <w:t xml:space="preserve"> </w:t>
      </w:r>
    </w:p>
    <w:p w14:paraId="065F00B8" w14:textId="77777777" w:rsidR="00F81CDA" w:rsidRPr="006E413D" w:rsidRDefault="00F81CDA" w:rsidP="006E413D"/>
    <w:p w14:paraId="1A898EB7" w14:textId="54247FDC" w:rsidR="00B54B7B" w:rsidRPr="00261F53" w:rsidRDefault="00B54B7B" w:rsidP="006E413D">
      <w:r w:rsidRPr="00261F53">
        <w:t>References</w:t>
      </w:r>
      <w:r w:rsidR="007D561C">
        <w:t>:</w:t>
      </w:r>
      <w:r w:rsidRPr="00261F53">
        <w:t xml:space="preserve"> </w:t>
      </w:r>
    </w:p>
    <w:p w14:paraId="355EBDE1" w14:textId="5CF83894" w:rsidR="005718C8" w:rsidRDefault="00DA66B8" w:rsidP="00894572">
      <w:pPr>
        <w:pStyle w:val="References"/>
        <w:ind w:left="360" w:hanging="360"/>
      </w:pPr>
      <w:r>
        <w:t>1</w:t>
      </w:r>
      <w:r w:rsidR="005718C8">
        <w:t>.</w:t>
      </w:r>
      <w:r w:rsidR="005718C8">
        <w:tab/>
        <w:t xml:space="preserve">Amin M, </w:t>
      </w:r>
      <w:proofErr w:type="spellStart"/>
      <w:r w:rsidR="005718C8">
        <w:t>Boccon-Gibod</w:t>
      </w:r>
      <w:proofErr w:type="spellEnd"/>
      <w:r w:rsidR="005718C8">
        <w:t xml:space="preserve"> L, </w:t>
      </w:r>
      <w:proofErr w:type="spellStart"/>
      <w:r w:rsidR="005718C8">
        <w:t>Egevad</w:t>
      </w:r>
      <w:proofErr w:type="spellEnd"/>
      <w:r w:rsidR="005718C8">
        <w:t xml:space="preserve"> L, et al. Prognostic and predictive factors and reporting of prostate carcinoma in prostate needle biopsy specimens. (2004 WHO-sponsored International Consultation Consensus). </w:t>
      </w:r>
      <w:proofErr w:type="spellStart"/>
      <w:r w:rsidR="005718C8" w:rsidRPr="0062185C">
        <w:rPr>
          <w:i/>
        </w:rPr>
        <w:t>Scand</w:t>
      </w:r>
      <w:proofErr w:type="spellEnd"/>
      <w:r w:rsidR="005718C8" w:rsidRPr="0062185C">
        <w:rPr>
          <w:i/>
        </w:rPr>
        <w:t xml:space="preserve"> J </w:t>
      </w:r>
      <w:proofErr w:type="spellStart"/>
      <w:r w:rsidR="005718C8" w:rsidRPr="0062185C">
        <w:rPr>
          <w:i/>
        </w:rPr>
        <w:t>Urol</w:t>
      </w:r>
      <w:proofErr w:type="spellEnd"/>
      <w:r w:rsidR="005718C8" w:rsidRPr="0062185C">
        <w:rPr>
          <w:i/>
        </w:rPr>
        <w:t xml:space="preserve"> </w:t>
      </w:r>
      <w:proofErr w:type="spellStart"/>
      <w:r w:rsidR="005718C8" w:rsidRPr="0062185C">
        <w:rPr>
          <w:i/>
        </w:rPr>
        <w:t>Nephrol</w:t>
      </w:r>
      <w:proofErr w:type="spellEnd"/>
      <w:r w:rsidR="005718C8">
        <w:t>. 2004;39(216 suppl):20-33.</w:t>
      </w:r>
    </w:p>
    <w:p w14:paraId="77694B66" w14:textId="05E2242D" w:rsidR="005718C8" w:rsidRDefault="00DA66B8" w:rsidP="00894572">
      <w:pPr>
        <w:pStyle w:val="References"/>
        <w:ind w:left="360" w:hanging="360"/>
      </w:pPr>
      <w:r>
        <w:t>2</w:t>
      </w:r>
      <w:r w:rsidR="005718C8">
        <w:t>.</w:t>
      </w:r>
      <w:r w:rsidR="005718C8">
        <w:tab/>
      </w:r>
      <w:proofErr w:type="spellStart"/>
      <w:r w:rsidR="005718C8">
        <w:t>Gokden</w:t>
      </w:r>
      <w:proofErr w:type="spellEnd"/>
      <w:r w:rsidR="005718C8">
        <w:t xml:space="preserve"> N, Roehl KA, </w:t>
      </w:r>
      <w:proofErr w:type="spellStart"/>
      <w:r w:rsidR="005718C8">
        <w:t>Catalona</w:t>
      </w:r>
      <w:proofErr w:type="spellEnd"/>
      <w:r w:rsidR="005718C8">
        <w:t xml:space="preserve"> WJ, Humphrey PA. High-grade prostatic intraepithelial neoplasia in needle biopsy as risk factor for detection of adenocarcinoma: current level of risk in screening population. </w:t>
      </w:r>
      <w:r w:rsidR="005718C8" w:rsidRPr="0062185C">
        <w:rPr>
          <w:i/>
        </w:rPr>
        <w:t>Urology</w:t>
      </w:r>
      <w:r w:rsidR="005718C8">
        <w:t>. 2005;65:538-542.</w:t>
      </w:r>
    </w:p>
    <w:p w14:paraId="1D7E7334" w14:textId="1BA2DB67" w:rsidR="005718C8" w:rsidRDefault="00DA66B8" w:rsidP="00894572">
      <w:pPr>
        <w:pStyle w:val="References"/>
        <w:ind w:left="360" w:hanging="360"/>
      </w:pPr>
      <w:r>
        <w:t>3</w:t>
      </w:r>
      <w:r w:rsidR="005718C8">
        <w:t>.</w:t>
      </w:r>
      <w:r w:rsidR="005718C8">
        <w:tab/>
        <w:t xml:space="preserve">Epstein JI, </w:t>
      </w:r>
      <w:proofErr w:type="spellStart"/>
      <w:r w:rsidR="005718C8">
        <w:t>Herawi</w:t>
      </w:r>
      <w:proofErr w:type="spellEnd"/>
      <w:r w:rsidR="005718C8">
        <w:t xml:space="preserve"> M. Prostate needle biopsies containing prostatic intraepithelial neoplasia or atypical foci suspicious for carcinoma: implications for patient care. </w:t>
      </w:r>
      <w:r w:rsidR="005718C8" w:rsidRPr="0062185C">
        <w:rPr>
          <w:i/>
        </w:rPr>
        <w:t>J Urol</w:t>
      </w:r>
      <w:r w:rsidR="005718C8">
        <w:t>. 2006;175:820-834.</w:t>
      </w:r>
    </w:p>
    <w:p w14:paraId="171661FE" w14:textId="2A9C1458" w:rsidR="005718C8" w:rsidRDefault="005718C8" w:rsidP="00894572">
      <w:pPr>
        <w:pStyle w:val="References"/>
        <w:ind w:left="360" w:hanging="360"/>
      </w:pPr>
      <w:r>
        <w:t>4.</w:t>
      </w:r>
      <w:r>
        <w:tab/>
      </w:r>
      <w:proofErr w:type="spellStart"/>
      <w:r>
        <w:t>Merrimen</w:t>
      </w:r>
      <w:proofErr w:type="spellEnd"/>
      <w:r>
        <w:t xml:space="preserve"> JL, Jones G, Walker D, Leung CS, </w:t>
      </w:r>
      <w:proofErr w:type="spellStart"/>
      <w:r>
        <w:t>Kapusta</w:t>
      </w:r>
      <w:proofErr w:type="spellEnd"/>
      <w:r>
        <w:t xml:space="preserve"> LR, Srigley JR. Multifocal high grade prostatic intraepithelial neoplasia is a significant risk factor for prostatic adenocarcinoma. </w:t>
      </w:r>
      <w:r w:rsidRPr="0062185C">
        <w:rPr>
          <w:i/>
        </w:rPr>
        <w:t>J Urol</w:t>
      </w:r>
      <w:r>
        <w:rPr>
          <w:i/>
        </w:rPr>
        <w:t>.</w:t>
      </w:r>
      <w:r>
        <w:t xml:space="preserve"> 2009;182:485-490.</w:t>
      </w:r>
    </w:p>
    <w:p w14:paraId="72B51CF8" w14:textId="2C501AA3" w:rsidR="00DA66B8" w:rsidRDefault="00DA66B8" w:rsidP="00894572">
      <w:pPr>
        <w:pStyle w:val="References"/>
        <w:ind w:left="360" w:hanging="360"/>
      </w:pPr>
      <w:r>
        <w:t>5.</w:t>
      </w:r>
      <w:r>
        <w:tab/>
      </w:r>
      <w:proofErr w:type="spellStart"/>
      <w:r>
        <w:t>Merrimen</w:t>
      </w:r>
      <w:proofErr w:type="spellEnd"/>
      <w:r>
        <w:t xml:space="preserve"> JL, Jones G, Srigley JR. Is high grade prostatic intraepithelial neoplasia still a risk factor for adenocarcinoma in the era of extended biopsy sampling? </w:t>
      </w:r>
      <w:r w:rsidRPr="0062185C">
        <w:rPr>
          <w:i/>
        </w:rPr>
        <w:t>Pathology</w:t>
      </w:r>
      <w:r>
        <w:t>. 2010;42(4):325-329.</w:t>
      </w:r>
    </w:p>
    <w:p w14:paraId="1ED989D6" w14:textId="77777777" w:rsidR="00B54B7B" w:rsidRPr="00B54B7B" w:rsidRDefault="00B54B7B" w:rsidP="006E413D">
      <w:pPr>
        <w:rPr>
          <w:highlight w:val="yellow"/>
        </w:rPr>
      </w:pPr>
      <w:bookmarkStart w:id="1" w:name="_GoBack"/>
      <w:bookmarkEnd w:id="1"/>
    </w:p>
    <w:sectPr w:rsidR="00B54B7B" w:rsidRPr="00B54B7B" w:rsidSect="007F5723">
      <w:headerReference w:type="even" r:id="rId16"/>
      <w:headerReference w:type="default" r:id="rId17"/>
      <w:footerReference w:type="even" r:id="rId18"/>
      <w:footerReference w:type="default" r:id="rId19"/>
      <w:endnotePr>
        <w:numFmt w:val="decimal"/>
      </w:endnotePr>
      <w:pgSz w:w="12240" w:h="15840"/>
      <w:pgMar w:top="1440" w:right="1080" w:bottom="1440" w:left="1080" w:header="720" w:footer="9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19BC0" w14:textId="77777777" w:rsidR="004D023D" w:rsidRDefault="004D023D"/>
  </w:endnote>
  <w:endnote w:type="continuationSeparator" w:id="0">
    <w:p w14:paraId="4163F923" w14:textId="77777777" w:rsidR="004D023D" w:rsidRDefault="004D023D"/>
  </w:endnote>
  <w:endnote w:type="continuationNotice" w:id="1">
    <w:p w14:paraId="0EC9048D" w14:textId="77777777" w:rsidR="004D023D" w:rsidRDefault="004D02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slon 224 Book">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A8818" w14:textId="77777777" w:rsidR="00291D90" w:rsidRDefault="00291D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CF3B3AB" w14:textId="77777777" w:rsidR="00291D90" w:rsidRDefault="00291D90">
    <w:pPr>
      <w:pStyle w:val="Footer"/>
      <w:ind w:left="180" w:right="360" w:firstLine="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70CF9" w14:textId="77777777" w:rsidR="00291D90" w:rsidRDefault="00291D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1D2D">
      <w:rPr>
        <w:rStyle w:val="PageNumber"/>
        <w:noProof/>
      </w:rPr>
      <w:t>5</w:t>
    </w:r>
    <w:r>
      <w:rPr>
        <w:rStyle w:val="PageNumber"/>
      </w:rPr>
      <w:fldChar w:fldCharType="end"/>
    </w:r>
  </w:p>
  <w:p w14:paraId="21D97F08" w14:textId="64F640F8" w:rsidR="00291D90" w:rsidRPr="00257BB5" w:rsidRDefault="00FF60F9" w:rsidP="005D7C94">
    <w:pPr>
      <w:rPr>
        <w:sz w:val="16"/>
        <w:szCs w:val="16"/>
      </w:rPr>
    </w:pPr>
    <w:r w:rsidRPr="00257BB5">
      <w:rPr>
        <w:rFonts w:cs="Arial"/>
        <w:sz w:val="16"/>
        <w:szCs w:val="16"/>
      </w:rPr>
      <w:t>The routinely reported c</w:t>
    </w:r>
    <w:r w:rsidR="0013449F" w:rsidRPr="00257BB5">
      <w:rPr>
        <w:rFonts w:cs="Arial"/>
        <w:sz w:val="16"/>
        <w:szCs w:val="16"/>
      </w:rPr>
      <w:t>ore data elements are bolded</w:t>
    </w:r>
    <w:r w:rsidRPr="00257BB5">
      <w:rPr>
        <w:rFonts w:cs="Arial"/>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5BF71" w14:textId="786BE1B5" w:rsidR="00291D90" w:rsidRPr="000D3CCF" w:rsidRDefault="00291D90" w:rsidP="000D3CCF">
    <w:pPr>
      <w:widowControl w:val="0"/>
      <w:autoSpaceDE w:val="0"/>
      <w:autoSpaceDN w:val="0"/>
      <w:adjustRightInd w:val="0"/>
      <w:rPr>
        <w:color w:val="1F497D"/>
        <w:kern w:val="22"/>
        <w:sz w:val="16"/>
        <w:szCs w:val="16"/>
      </w:rPr>
    </w:pPr>
    <w:r w:rsidRPr="000D3CCF">
      <w:rPr>
        <w:rFonts w:cs="Arial"/>
        <w:b/>
        <w:kern w:val="22"/>
        <w:sz w:val="16"/>
        <w:szCs w:val="16"/>
      </w:rPr>
      <w:t>© 201</w:t>
    </w:r>
    <w:r>
      <w:rPr>
        <w:rFonts w:cs="Arial"/>
        <w:b/>
        <w:kern w:val="22"/>
        <w:sz w:val="16"/>
        <w:szCs w:val="16"/>
      </w:rPr>
      <w:t>9</w:t>
    </w:r>
    <w:r w:rsidRPr="000D3CCF">
      <w:rPr>
        <w:rFonts w:cs="Arial"/>
        <w:b/>
        <w:kern w:val="22"/>
        <w:sz w:val="16"/>
        <w:szCs w:val="16"/>
      </w:rPr>
      <w:t xml:space="preserve"> College of American Pathologists (CAP). All rights reserved.</w:t>
    </w:r>
    <w:r w:rsidRPr="000D3CCF">
      <w:rPr>
        <w:color w:val="1F497D"/>
        <w:kern w:val="22"/>
        <w:sz w:val="16"/>
        <w:szCs w:val="16"/>
      </w:rPr>
      <w:t xml:space="preserve"> </w:t>
    </w:r>
  </w:p>
  <w:p w14:paraId="69CE16AF" w14:textId="77777777" w:rsidR="00291D90" w:rsidRDefault="00291D90" w:rsidP="005835D6">
    <w:r w:rsidRPr="000D3CCF">
      <w:rPr>
        <w:color w:val="000000"/>
        <w:kern w:val="22"/>
        <w:sz w:val="16"/>
        <w:szCs w:val="16"/>
      </w:rPr>
      <w:t xml:space="preserve">For Terms of Use please visit </w:t>
    </w:r>
    <w:hyperlink r:id="rId1" w:history="1">
      <w:r w:rsidRPr="000D3CCF">
        <w:rPr>
          <w:color w:val="000000"/>
          <w:kern w:val="22"/>
          <w:sz w:val="16"/>
          <w:szCs w:val="16"/>
          <w:u w:val="single"/>
        </w:rPr>
        <w:t>www.cap.org/cancerprotocols</w:t>
      </w:r>
    </w:hyperlink>
    <w:r w:rsidRPr="000D3CCF">
      <w:rPr>
        <w:color w:val="000000"/>
        <w:kern w:val="22"/>
        <w:sz w:val="16"/>
        <w:szCs w:val="16"/>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18FC1" w14:textId="77777777" w:rsidR="00291D90" w:rsidRDefault="00291D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1F149E35" w14:textId="77777777" w:rsidR="00291D90" w:rsidRDefault="00291D90">
    <w:pPr>
      <w:pStyle w:val="Footer"/>
      <w:ind w:right="360"/>
      <w:jc w:val="right"/>
      <w:rPr>
        <w:snapToGrid w:val="0"/>
        <w:sz w:val="16"/>
      </w:rPr>
    </w:pPr>
  </w:p>
  <w:p w14:paraId="7506087B" w14:textId="77777777" w:rsidR="00291D90" w:rsidRDefault="00291D9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39FFA" w14:textId="77777777" w:rsidR="00291D90" w:rsidRDefault="00291D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1D2D">
      <w:rPr>
        <w:rStyle w:val="PageNumber"/>
        <w:noProof/>
      </w:rPr>
      <w:t>8</w:t>
    </w:r>
    <w:r>
      <w:rPr>
        <w:rStyle w:val="PageNumber"/>
      </w:rPr>
      <w:fldChar w:fldCharType="end"/>
    </w:r>
  </w:p>
  <w:p w14:paraId="10DD232C" w14:textId="77777777" w:rsidR="00291D90" w:rsidRDefault="00291D90">
    <w:pPr>
      <w:pStyle w:val="BodyTextIndent"/>
      <w:tabs>
        <w:tab w:val="clear" w:pos="1080"/>
      </w:tabs>
      <w:ind w:left="180" w:right="360" w:hanging="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DA312" w14:textId="77777777" w:rsidR="004D023D" w:rsidRDefault="004D023D">
      <w:r>
        <w:separator/>
      </w:r>
    </w:p>
  </w:footnote>
  <w:footnote w:type="continuationSeparator" w:id="0">
    <w:p w14:paraId="026B2FE8" w14:textId="77777777" w:rsidR="004D023D" w:rsidRDefault="004D023D">
      <w:r>
        <w:continuationSeparator/>
      </w:r>
    </w:p>
  </w:footnote>
  <w:footnote w:type="continuationNotice" w:id="1">
    <w:p w14:paraId="21CFF06D" w14:textId="77777777" w:rsidR="004D023D" w:rsidRDefault="004D02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5CD74" w14:textId="77777777" w:rsidR="00B528D5" w:rsidRDefault="00B528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4486A" w14:textId="07EEDB73" w:rsidR="00291D90" w:rsidRDefault="00291D90" w:rsidP="007F5723">
    <w:pPr>
      <w:pStyle w:val="Header"/>
      <w:tabs>
        <w:tab w:val="clear" w:pos="8640"/>
        <w:tab w:val="right" w:pos="10080"/>
      </w:tabs>
    </w:pPr>
    <w:r>
      <w:tab/>
      <w:t>Genitourinary • Prostate 4.0.3.0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AFB26" w14:textId="1ACB5F81" w:rsidR="00291D90" w:rsidRDefault="00291D90">
    <w:pPr>
      <w:pStyle w:val="Header"/>
    </w:pPr>
    <w:r>
      <w:rPr>
        <w:noProof/>
      </w:rPr>
      <w:drawing>
        <wp:inline distT="0" distB="0" distL="0" distR="0" wp14:anchorId="4B58CC74" wp14:editId="28A86C49">
          <wp:extent cx="2952750" cy="502285"/>
          <wp:effectExtent l="0" t="0" r="0" b="5715"/>
          <wp:docPr id="2" name="Picture 1" descr="Macintosh HD:Users:ctursky:Documents:CT_Publications:CAP_Logo_2015:CAP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tursky:Documents:CT_Publications:CAP_Logo_2015:CAP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0" cy="502285"/>
                  </a:xfrm>
                  <a:prstGeom prst="rect">
                    <a:avLst/>
                  </a:prstGeom>
                  <a:noFill/>
                  <a:ln>
                    <a:noFill/>
                  </a:ln>
                </pic:spPr>
              </pic:pic>
            </a:graphicData>
          </a:graphic>
        </wp:inline>
      </w:drawing>
    </w:r>
  </w:p>
  <w:p w14:paraId="7111D76A" w14:textId="77777777" w:rsidR="00291D90" w:rsidRPr="00AF5A29" w:rsidRDefault="00291D90">
    <w:pPr>
      <w:pStyle w:val="Header"/>
      <w:rPr>
        <w:sz w:val="48"/>
        <w:szCs w:val="4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A5932" w14:textId="667A1D3A" w:rsidR="00291D90" w:rsidRDefault="00291D90" w:rsidP="007F5723">
    <w:pPr>
      <w:pStyle w:val="Header"/>
      <w:tabs>
        <w:tab w:val="clear" w:pos="8640"/>
        <w:tab w:val="right" w:pos="10080"/>
      </w:tabs>
    </w:pPr>
    <w:r>
      <w:t>CAP Approved</w:t>
    </w:r>
    <w:r>
      <w:tab/>
      <w:t xml:space="preserve">Genitourinary • Prostate </w:t>
    </w:r>
    <w:r w:rsidR="004919D7">
      <w:t xml:space="preserve">TURP </w:t>
    </w:r>
    <w:r>
      <w:t>4.0</w:t>
    </w:r>
    <w:r w:rsidR="004854FD">
      <w:t>.</w:t>
    </w:r>
    <w:r w:rsidR="00EA5259">
      <w:t>4</w:t>
    </w:r>
    <w:r w:rsidR="004854FD">
      <w:t>.0</w:t>
    </w:r>
  </w:p>
  <w:p w14:paraId="5C9C90D4" w14:textId="77777777" w:rsidR="00291D90" w:rsidRDefault="00291D90" w:rsidP="00797D93">
    <w:pPr>
      <w:pStyle w:val="Header"/>
      <w:jc w:val="right"/>
      <w:rPr>
        <w:rFonts w:cs="Verdana"/>
        <w:b w:val="0"/>
        <w:sz w:val="18"/>
        <w:szCs w:val="18"/>
      </w:rPr>
    </w:pPr>
    <w:r>
      <w:rPr>
        <w:rFonts w:cs="Verdana"/>
        <w:b w:val="0"/>
        <w:sz w:val="18"/>
        <w:szCs w:val="18"/>
      </w:rPr>
      <w:t>TURP</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70001" w14:textId="77777777" w:rsidR="00291D90" w:rsidRDefault="00291D90">
    <w:pPr>
      <w:pStyle w:val="Header"/>
    </w:pPr>
    <w:r>
      <w:t>Prostate • Genitourinary</w:t>
    </w:r>
    <w:r>
      <w:tab/>
      <w:t>For Information Only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A290E" w14:textId="75C01687" w:rsidR="00291D90" w:rsidRDefault="00291D90" w:rsidP="004919D7">
    <w:pPr>
      <w:pStyle w:val="Header"/>
      <w:tabs>
        <w:tab w:val="clear" w:pos="8640"/>
        <w:tab w:val="right" w:pos="10080"/>
      </w:tabs>
    </w:pPr>
    <w:r>
      <w:t>Background Documentation</w:t>
    </w:r>
    <w:r>
      <w:tab/>
      <w:t>Genitourinary • Prostate 4.0</w:t>
    </w:r>
    <w:r w:rsidR="004854FD">
      <w:t>.3.0</w:t>
    </w:r>
  </w:p>
  <w:p w14:paraId="3AD96CD5" w14:textId="45A4D8C4" w:rsidR="004854FD" w:rsidRPr="004854FD" w:rsidRDefault="004854FD" w:rsidP="003415D1">
    <w:pPr>
      <w:pStyle w:val="Header"/>
      <w:tabs>
        <w:tab w:val="clear" w:pos="8640"/>
        <w:tab w:val="right" w:pos="10080"/>
      </w:tabs>
      <w:jc w:val="right"/>
      <w:rPr>
        <w:b w:val="0"/>
        <w:sz w:val="18"/>
        <w:szCs w:val="18"/>
      </w:rPr>
    </w:pPr>
    <w:r w:rsidRPr="003415D1">
      <w:rPr>
        <w:b w:val="0"/>
      </w:rPr>
      <w:t>TURP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8EABC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A142F1"/>
    <w:multiLevelType w:val="hybridMultilevel"/>
    <w:tmpl w:val="E36AF75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1BA6C8C"/>
    <w:multiLevelType w:val="hybridMultilevel"/>
    <w:tmpl w:val="8B500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84D35"/>
    <w:multiLevelType w:val="hybridMultilevel"/>
    <w:tmpl w:val="7D5A6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1A3F13"/>
    <w:multiLevelType w:val="hybridMultilevel"/>
    <w:tmpl w:val="05305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93617"/>
    <w:multiLevelType w:val="hybridMultilevel"/>
    <w:tmpl w:val="1BD4ED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E62F86"/>
    <w:multiLevelType w:val="hybridMultilevel"/>
    <w:tmpl w:val="0CCC4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3E0EE3"/>
    <w:multiLevelType w:val="hybridMultilevel"/>
    <w:tmpl w:val="1E6A1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FE7231"/>
    <w:multiLevelType w:val="hybridMultilevel"/>
    <w:tmpl w:val="5DFE4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804A06"/>
    <w:multiLevelType w:val="hybridMultilevel"/>
    <w:tmpl w:val="463CB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FF2B97"/>
    <w:multiLevelType w:val="hybridMultilevel"/>
    <w:tmpl w:val="770A6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A424E7"/>
    <w:multiLevelType w:val="hybridMultilevel"/>
    <w:tmpl w:val="406E1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F832FE"/>
    <w:multiLevelType w:val="hybridMultilevel"/>
    <w:tmpl w:val="0368F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CE0E2F"/>
    <w:multiLevelType w:val="hybridMultilevel"/>
    <w:tmpl w:val="8E084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A59D7"/>
    <w:multiLevelType w:val="hybridMultilevel"/>
    <w:tmpl w:val="722EB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EE1A92"/>
    <w:multiLevelType w:val="hybridMultilevel"/>
    <w:tmpl w:val="2A7AD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C82B01"/>
    <w:multiLevelType w:val="hybridMultilevel"/>
    <w:tmpl w:val="8AF8E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F628C1"/>
    <w:multiLevelType w:val="hybridMultilevel"/>
    <w:tmpl w:val="BA283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3C66BC"/>
    <w:multiLevelType w:val="singleLevel"/>
    <w:tmpl w:val="C21EB084"/>
    <w:lvl w:ilvl="0">
      <w:start w:val="1"/>
      <w:numFmt w:val="decimal"/>
      <w:lvlText w:val="%1."/>
      <w:lvlJc w:val="left"/>
      <w:pPr>
        <w:tabs>
          <w:tab w:val="num" w:pos="2520"/>
        </w:tabs>
        <w:ind w:left="2520" w:hanging="720"/>
      </w:pPr>
      <w:rPr>
        <w:rFonts w:hint="default"/>
      </w:rPr>
    </w:lvl>
  </w:abstractNum>
  <w:abstractNum w:abstractNumId="19" w15:restartNumberingAfterBreak="0">
    <w:nsid w:val="3719012C"/>
    <w:multiLevelType w:val="hybridMultilevel"/>
    <w:tmpl w:val="26DE6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655B37"/>
    <w:multiLevelType w:val="hybridMultilevel"/>
    <w:tmpl w:val="3B36E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F6045C"/>
    <w:multiLevelType w:val="hybridMultilevel"/>
    <w:tmpl w:val="5356712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9036798"/>
    <w:multiLevelType w:val="hybridMultilevel"/>
    <w:tmpl w:val="F200A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9162E74"/>
    <w:multiLevelType w:val="hybridMultilevel"/>
    <w:tmpl w:val="E7264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8B0246"/>
    <w:multiLevelType w:val="hybridMultilevel"/>
    <w:tmpl w:val="26725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E339F0"/>
    <w:multiLevelType w:val="hybridMultilevel"/>
    <w:tmpl w:val="1ABAC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024928"/>
    <w:multiLevelType w:val="hybridMultilevel"/>
    <w:tmpl w:val="87D8D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3354B8"/>
    <w:multiLevelType w:val="hybridMultilevel"/>
    <w:tmpl w:val="ACB4EB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2B44433"/>
    <w:multiLevelType w:val="hybridMultilevel"/>
    <w:tmpl w:val="9C9A3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386389"/>
    <w:multiLevelType w:val="hybridMultilevel"/>
    <w:tmpl w:val="D2C09B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4756E56"/>
    <w:multiLevelType w:val="hybridMultilevel"/>
    <w:tmpl w:val="6E52B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580D02"/>
    <w:multiLevelType w:val="hybridMultilevel"/>
    <w:tmpl w:val="43C0A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2E5F79"/>
    <w:multiLevelType w:val="hybridMultilevel"/>
    <w:tmpl w:val="903E3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8742E5"/>
    <w:multiLevelType w:val="hybridMultilevel"/>
    <w:tmpl w:val="93106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7B60DF"/>
    <w:multiLevelType w:val="hybridMultilevel"/>
    <w:tmpl w:val="0756C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8E2B11"/>
    <w:multiLevelType w:val="hybridMultilevel"/>
    <w:tmpl w:val="FA32E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5E16D3"/>
    <w:multiLevelType w:val="hybridMultilevel"/>
    <w:tmpl w:val="D2F49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732702"/>
    <w:multiLevelType w:val="hybridMultilevel"/>
    <w:tmpl w:val="71A07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DC350F"/>
    <w:multiLevelType w:val="hybridMultilevel"/>
    <w:tmpl w:val="85C67F5C"/>
    <w:lvl w:ilvl="0" w:tplc="E69808D2">
      <w:start w:val="1"/>
      <w:numFmt w:val="decimal"/>
      <w:lvlText w:val="%1."/>
      <w:lvlJc w:val="left"/>
      <w:pPr>
        <w:tabs>
          <w:tab w:val="num" w:pos="720"/>
        </w:tabs>
        <w:ind w:left="720" w:hanging="360"/>
      </w:pPr>
    </w:lvl>
    <w:lvl w:ilvl="1" w:tplc="C7161086" w:tentative="1">
      <w:start w:val="1"/>
      <w:numFmt w:val="lowerLetter"/>
      <w:lvlText w:val="%2."/>
      <w:lvlJc w:val="left"/>
      <w:pPr>
        <w:tabs>
          <w:tab w:val="num" w:pos="1440"/>
        </w:tabs>
        <w:ind w:left="1440" w:hanging="360"/>
      </w:pPr>
    </w:lvl>
    <w:lvl w:ilvl="2" w:tplc="2B70EE26" w:tentative="1">
      <w:start w:val="1"/>
      <w:numFmt w:val="lowerRoman"/>
      <w:lvlText w:val="%3."/>
      <w:lvlJc w:val="right"/>
      <w:pPr>
        <w:tabs>
          <w:tab w:val="num" w:pos="2160"/>
        </w:tabs>
        <w:ind w:left="2160" w:hanging="180"/>
      </w:pPr>
    </w:lvl>
    <w:lvl w:ilvl="3" w:tplc="A9522E0A" w:tentative="1">
      <w:start w:val="1"/>
      <w:numFmt w:val="decimal"/>
      <w:lvlText w:val="%4."/>
      <w:lvlJc w:val="left"/>
      <w:pPr>
        <w:tabs>
          <w:tab w:val="num" w:pos="2880"/>
        </w:tabs>
        <w:ind w:left="2880" w:hanging="360"/>
      </w:pPr>
    </w:lvl>
    <w:lvl w:ilvl="4" w:tplc="A044E1DA" w:tentative="1">
      <w:start w:val="1"/>
      <w:numFmt w:val="lowerLetter"/>
      <w:lvlText w:val="%5."/>
      <w:lvlJc w:val="left"/>
      <w:pPr>
        <w:tabs>
          <w:tab w:val="num" w:pos="3600"/>
        </w:tabs>
        <w:ind w:left="3600" w:hanging="360"/>
      </w:pPr>
    </w:lvl>
    <w:lvl w:ilvl="5" w:tplc="2C0065F0" w:tentative="1">
      <w:start w:val="1"/>
      <w:numFmt w:val="lowerRoman"/>
      <w:lvlText w:val="%6."/>
      <w:lvlJc w:val="right"/>
      <w:pPr>
        <w:tabs>
          <w:tab w:val="num" w:pos="4320"/>
        </w:tabs>
        <w:ind w:left="4320" w:hanging="180"/>
      </w:pPr>
    </w:lvl>
    <w:lvl w:ilvl="6" w:tplc="289A08B0" w:tentative="1">
      <w:start w:val="1"/>
      <w:numFmt w:val="decimal"/>
      <w:lvlText w:val="%7."/>
      <w:lvlJc w:val="left"/>
      <w:pPr>
        <w:tabs>
          <w:tab w:val="num" w:pos="5040"/>
        </w:tabs>
        <w:ind w:left="5040" w:hanging="360"/>
      </w:pPr>
    </w:lvl>
    <w:lvl w:ilvl="7" w:tplc="85082122" w:tentative="1">
      <w:start w:val="1"/>
      <w:numFmt w:val="lowerLetter"/>
      <w:lvlText w:val="%8."/>
      <w:lvlJc w:val="left"/>
      <w:pPr>
        <w:tabs>
          <w:tab w:val="num" w:pos="5760"/>
        </w:tabs>
        <w:ind w:left="5760" w:hanging="360"/>
      </w:pPr>
    </w:lvl>
    <w:lvl w:ilvl="8" w:tplc="7D7C621C" w:tentative="1">
      <w:start w:val="1"/>
      <w:numFmt w:val="lowerRoman"/>
      <w:lvlText w:val="%9."/>
      <w:lvlJc w:val="right"/>
      <w:pPr>
        <w:tabs>
          <w:tab w:val="num" w:pos="6480"/>
        </w:tabs>
        <w:ind w:left="6480" w:hanging="180"/>
      </w:pPr>
    </w:lvl>
  </w:abstractNum>
  <w:abstractNum w:abstractNumId="39" w15:restartNumberingAfterBreak="0">
    <w:nsid w:val="606F5282"/>
    <w:multiLevelType w:val="hybridMultilevel"/>
    <w:tmpl w:val="EA10E62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652B5D12"/>
    <w:multiLevelType w:val="hybridMultilevel"/>
    <w:tmpl w:val="25022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6B017E"/>
    <w:multiLevelType w:val="hybridMultilevel"/>
    <w:tmpl w:val="6D140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DA2689"/>
    <w:multiLevelType w:val="hybridMultilevel"/>
    <w:tmpl w:val="88B0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642B88"/>
    <w:multiLevelType w:val="hybridMultilevel"/>
    <w:tmpl w:val="77D214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09A1A67"/>
    <w:multiLevelType w:val="hybridMultilevel"/>
    <w:tmpl w:val="5D1EB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257B2E"/>
    <w:multiLevelType w:val="hybridMultilevel"/>
    <w:tmpl w:val="BC34C6AE"/>
    <w:lvl w:ilvl="0" w:tplc="10AA965C">
      <w:numFmt w:val="bullet"/>
      <w:lvlText w:val="-"/>
      <w:lvlJc w:val="left"/>
      <w:pPr>
        <w:tabs>
          <w:tab w:val="num" w:pos="720"/>
        </w:tabs>
        <w:ind w:left="720" w:hanging="360"/>
      </w:pPr>
      <w:rPr>
        <w:rFonts w:ascii="Arial" w:eastAsia="Times New Roman" w:hAnsi="Arial" w:cs="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D93FA2"/>
    <w:multiLevelType w:val="hybridMultilevel"/>
    <w:tmpl w:val="7DCA1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5E15CA"/>
    <w:multiLevelType w:val="hybridMultilevel"/>
    <w:tmpl w:val="B65C9052"/>
    <w:lvl w:ilvl="0" w:tplc="23B666F8">
      <w:start w:val="1"/>
      <w:numFmt w:val="decimal"/>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5"/>
  </w:num>
  <w:num w:numId="3">
    <w:abstractNumId w:val="45"/>
  </w:num>
  <w:num w:numId="4">
    <w:abstractNumId w:val="0"/>
  </w:num>
  <w:num w:numId="5">
    <w:abstractNumId w:val="3"/>
  </w:num>
  <w:num w:numId="6">
    <w:abstractNumId w:val="30"/>
  </w:num>
  <w:num w:numId="7">
    <w:abstractNumId w:val="39"/>
  </w:num>
  <w:num w:numId="8">
    <w:abstractNumId w:val="1"/>
  </w:num>
  <w:num w:numId="9">
    <w:abstractNumId w:val="27"/>
  </w:num>
  <w:num w:numId="10">
    <w:abstractNumId w:val="18"/>
  </w:num>
  <w:num w:numId="11">
    <w:abstractNumId w:val="21"/>
  </w:num>
  <w:num w:numId="12">
    <w:abstractNumId w:val="43"/>
  </w:num>
  <w:num w:numId="13">
    <w:abstractNumId w:val="15"/>
  </w:num>
  <w:num w:numId="14">
    <w:abstractNumId w:val="28"/>
  </w:num>
  <w:num w:numId="15">
    <w:abstractNumId w:val="29"/>
  </w:num>
  <w:num w:numId="16">
    <w:abstractNumId w:val="13"/>
  </w:num>
  <w:num w:numId="17">
    <w:abstractNumId w:val="10"/>
  </w:num>
  <w:num w:numId="18">
    <w:abstractNumId w:val="23"/>
  </w:num>
  <w:num w:numId="19">
    <w:abstractNumId w:val="40"/>
  </w:num>
  <w:num w:numId="20">
    <w:abstractNumId w:val="37"/>
  </w:num>
  <w:num w:numId="21">
    <w:abstractNumId w:val="12"/>
  </w:num>
  <w:num w:numId="22">
    <w:abstractNumId w:val="2"/>
  </w:num>
  <w:num w:numId="23">
    <w:abstractNumId w:val="33"/>
  </w:num>
  <w:num w:numId="24">
    <w:abstractNumId w:val="41"/>
  </w:num>
  <w:num w:numId="25">
    <w:abstractNumId w:val="7"/>
  </w:num>
  <w:num w:numId="26">
    <w:abstractNumId w:val="16"/>
  </w:num>
  <w:num w:numId="27">
    <w:abstractNumId w:val="11"/>
  </w:num>
  <w:num w:numId="28">
    <w:abstractNumId w:val="34"/>
  </w:num>
  <w:num w:numId="29">
    <w:abstractNumId w:val="17"/>
  </w:num>
  <w:num w:numId="30">
    <w:abstractNumId w:val="14"/>
  </w:num>
  <w:num w:numId="31">
    <w:abstractNumId w:val="6"/>
  </w:num>
  <w:num w:numId="32">
    <w:abstractNumId w:val="4"/>
  </w:num>
  <w:num w:numId="33">
    <w:abstractNumId w:val="46"/>
  </w:num>
  <w:num w:numId="34">
    <w:abstractNumId w:val="9"/>
  </w:num>
  <w:num w:numId="35">
    <w:abstractNumId w:val="36"/>
  </w:num>
  <w:num w:numId="36">
    <w:abstractNumId w:val="20"/>
  </w:num>
  <w:num w:numId="37">
    <w:abstractNumId w:val="32"/>
  </w:num>
  <w:num w:numId="38">
    <w:abstractNumId w:val="25"/>
  </w:num>
  <w:num w:numId="39">
    <w:abstractNumId w:val="44"/>
  </w:num>
  <w:num w:numId="40">
    <w:abstractNumId w:val="47"/>
  </w:num>
  <w:num w:numId="41">
    <w:abstractNumId w:val="35"/>
  </w:num>
  <w:num w:numId="42">
    <w:abstractNumId w:val="24"/>
  </w:num>
  <w:num w:numId="43">
    <w:abstractNumId w:val="26"/>
  </w:num>
  <w:num w:numId="44">
    <w:abstractNumId w:val="31"/>
  </w:num>
  <w:num w:numId="45">
    <w:abstractNumId w:val="8"/>
  </w:num>
  <w:num w:numId="46">
    <w:abstractNumId w:val="19"/>
  </w:num>
  <w:num w:numId="47">
    <w:abstractNumId w:val="22"/>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E8B922B-1161-40D4-8BF9-4FD030007302}"/>
    <w:docVar w:name="dgnword-eventsink" w:val="130647080"/>
  </w:docVars>
  <w:rsids>
    <w:rsidRoot w:val="00E90FD5"/>
    <w:rsid w:val="00000009"/>
    <w:rsid w:val="00001D2D"/>
    <w:rsid w:val="000029AF"/>
    <w:rsid w:val="0000449C"/>
    <w:rsid w:val="00004F97"/>
    <w:rsid w:val="00005490"/>
    <w:rsid w:val="00010068"/>
    <w:rsid w:val="000112CB"/>
    <w:rsid w:val="0001214D"/>
    <w:rsid w:val="00014FF2"/>
    <w:rsid w:val="00015F4A"/>
    <w:rsid w:val="00017493"/>
    <w:rsid w:val="000210DD"/>
    <w:rsid w:val="00022ED5"/>
    <w:rsid w:val="0002546B"/>
    <w:rsid w:val="00026191"/>
    <w:rsid w:val="000274E2"/>
    <w:rsid w:val="00031C98"/>
    <w:rsid w:val="00032067"/>
    <w:rsid w:val="000339A0"/>
    <w:rsid w:val="00034217"/>
    <w:rsid w:val="000344A7"/>
    <w:rsid w:val="000378F2"/>
    <w:rsid w:val="00037C74"/>
    <w:rsid w:val="000409E7"/>
    <w:rsid w:val="00041DC4"/>
    <w:rsid w:val="0004368B"/>
    <w:rsid w:val="0004672B"/>
    <w:rsid w:val="0005101B"/>
    <w:rsid w:val="00052616"/>
    <w:rsid w:val="00056C0A"/>
    <w:rsid w:val="00061A88"/>
    <w:rsid w:val="00061D3F"/>
    <w:rsid w:val="000644F0"/>
    <w:rsid w:val="00066131"/>
    <w:rsid w:val="000663D7"/>
    <w:rsid w:val="00066B45"/>
    <w:rsid w:val="00071F3B"/>
    <w:rsid w:val="00072BE9"/>
    <w:rsid w:val="000735A9"/>
    <w:rsid w:val="00074441"/>
    <w:rsid w:val="0008112D"/>
    <w:rsid w:val="00081196"/>
    <w:rsid w:val="00082419"/>
    <w:rsid w:val="0008285A"/>
    <w:rsid w:val="00083057"/>
    <w:rsid w:val="00083A3A"/>
    <w:rsid w:val="000842BB"/>
    <w:rsid w:val="00085B09"/>
    <w:rsid w:val="00091E96"/>
    <w:rsid w:val="000953DF"/>
    <w:rsid w:val="000956B0"/>
    <w:rsid w:val="000A5F2F"/>
    <w:rsid w:val="000A6BD5"/>
    <w:rsid w:val="000A7523"/>
    <w:rsid w:val="000B1BE2"/>
    <w:rsid w:val="000B213E"/>
    <w:rsid w:val="000B2610"/>
    <w:rsid w:val="000B2626"/>
    <w:rsid w:val="000B2B20"/>
    <w:rsid w:val="000B62C0"/>
    <w:rsid w:val="000B6ACC"/>
    <w:rsid w:val="000B6D8E"/>
    <w:rsid w:val="000C303E"/>
    <w:rsid w:val="000C48D5"/>
    <w:rsid w:val="000C6C8A"/>
    <w:rsid w:val="000C7FD2"/>
    <w:rsid w:val="000D2A74"/>
    <w:rsid w:val="000D3CCF"/>
    <w:rsid w:val="000D5255"/>
    <w:rsid w:val="000D5ECE"/>
    <w:rsid w:val="000E1963"/>
    <w:rsid w:val="000E28D6"/>
    <w:rsid w:val="000E6E9F"/>
    <w:rsid w:val="000E7422"/>
    <w:rsid w:val="000F4819"/>
    <w:rsid w:val="000F623D"/>
    <w:rsid w:val="000F6A77"/>
    <w:rsid w:val="00100EA5"/>
    <w:rsid w:val="0010225B"/>
    <w:rsid w:val="00103023"/>
    <w:rsid w:val="00103855"/>
    <w:rsid w:val="00103862"/>
    <w:rsid w:val="00104856"/>
    <w:rsid w:val="001048B9"/>
    <w:rsid w:val="00104B1C"/>
    <w:rsid w:val="00104D2D"/>
    <w:rsid w:val="001060D2"/>
    <w:rsid w:val="00106346"/>
    <w:rsid w:val="00107167"/>
    <w:rsid w:val="00107C38"/>
    <w:rsid w:val="00110F06"/>
    <w:rsid w:val="00111675"/>
    <w:rsid w:val="00111716"/>
    <w:rsid w:val="00111743"/>
    <w:rsid w:val="00115930"/>
    <w:rsid w:val="001176D0"/>
    <w:rsid w:val="00120A7C"/>
    <w:rsid w:val="0012638E"/>
    <w:rsid w:val="0012644B"/>
    <w:rsid w:val="001267F6"/>
    <w:rsid w:val="00127065"/>
    <w:rsid w:val="00127972"/>
    <w:rsid w:val="00132014"/>
    <w:rsid w:val="00133E92"/>
    <w:rsid w:val="0013449F"/>
    <w:rsid w:val="001357B5"/>
    <w:rsid w:val="00136F19"/>
    <w:rsid w:val="00144CDB"/>
    <w:rsid w:val="00145A6E"/>
    <w:rsid w:val="001508AA"/>
    <w:rsid w:val="00152F0A"/>
    <w:rsid w:val="00155914"/>
    <w:rsid w:val="00156C31"/>
    <w:rsid w:val="00160460"/>
    <w:rsid w:val="00166836"/>
    <w:rsid w:val="0017228D"/>
    <w:rsid w:val="0017251A"/>
    <w:rsid w:val="00175658"/>
    <w:rsid w:val="00181719"/>
    <w:rsid w:val="00183A87"/>
    <w:rsid w:val="00186838"/>
    <w:rsid w:val="00186FFB"/>
    <w:rsid w:val="00190221"/>
    <w:rsid w:val="00190272"/>
    <w:rsid w:val="00190D6A"/>
    <w:rsid w:val="00191096"/>
    <w:rsid w:val="00191324"/>
    <w:rsid w:val="00191846"/>
    <w:rsid w:val="001927DF"/>
    <w:rsid w:val="00192899"/>
    <w:rsid w:val="00192D51"/>
    <w:rsid w:val="00196B15"/>
    <w:rsid w:val="00196E50"/>
    <w:rsid w:val="001A4DBD"/>
    <w:rsid w:val="001A5132"/>
    <w:rsid w:val="001A7593"/>
    <w:rsid w:val="001B4FFB"/>
    <w:rsid w:val="001B6B89"/>
    <w:rsid w:val="001C6582"/>
    <w:rsid w:val="001D1A37"/>
    <w:rsid w:val="001D2495"/>
    <w:rsid w:val="001D2D60"/>
    <w:rsid w:val="001D3D7D"/>
    <w:rsid w:val="001D51C1"/>
    <w:rsid w:val="001D7016"/>
    <w:rsid w:val="001E04D4"/>
    <w:rsid w:val="001E0D33"/>
    <w:rsid w:val="001E311A"/>
    <w:rsid w:val="001E5722"/>
    <w:rsid w:val="001F3DA3"/>
    <w:rsid w:val="001F3F42"/>
    <w:rsid w:val="001F439C"/>
    <w:rsid w:val="001F5E26"/>
    <w:rsid w:val="00200910"/>
    <w:rsid w:val="00200ECA"/>
    <w:rsid w:val="002041FC"/>
    <w:rsid w:val="00210001"/>
    <w:rsid w:val="00210A34"/>
    <w:rsid w:val="00216F1C"/>
    <w:rsid w:val="002234F9"/>
    <w:rsid w:val="00224067"/>
    <w:rsid w:val="002324D8"/>
    <w:rsid w:val="0023549F"/>
    <w:rsid w:val="00235665"/>
    <w:rsid w:val="00235818"/>
    <w:rsid w:val="00236560"/>
    <w:rsid w:val="00236672"/>
    <w:rsid w:val="00236E44"/>
    <w:rsid w:val="0023750F"/>
    <w:rsid w:val="00237677"/>
    <w:rsid w:val="002405F3"/>
    <w:rsid w:val="002411E7"/>
    <w:rsid w:val="00241D98"/>
    <w:rsid w:val="00241FDA"/>
    <w:rsid w:val="00242BF2"/>
    <w:rsid w:val="00243ADD"/>
    <w:rsid w:val="0024547E"/>
    <w:rsid w:val="00245B3C"/>
    <w:rsid w:val="00245DD7"/>
    <w:rsid w:val="0024750D"/>
    <w:rsid w:val="0025727A"/>
    <w:rsid w:val="00257BB5"/>
    <w:rsid w:val="00261F53"/>
    <w:rsid w:val="00262735"/>
    <w:rsid w:val="00263C2F"/>
    <w:rsid w:val="00264419"/>
    <w:rsid w:val="00264E92"/>
    <w:rsid w:val="00265BC3"/>
    <w:rsid w:val="002662FB"/>
    <w:rsid w:val="00272925"/>
    <w:rsid w:val="002751C7"/>
    <w:rsid w:val="00275638"/>
    <w:rsid w:val="00277F04"/>
    <w:rsid w:val="002808D8"/>
    <w:rsid w:val="002823E7"/>
    <w:rsid w:val="0028346B"/>
    <w:rsid w:val="00283958"/>
    <w:rsid w:val="00287149"/>
    <w:rsid w:val="002908EA"/>
    <w:rsid w:val="00291A34"/>
    <w:rsid w:val="00291D90"/>
    <w:rsid w:val="00292875"/>
    <w:rsid w:val="00296FCF"/>
    <w:rsid w:val="002A4224"/>
    <w:rsid w:val="002A494E"/>
    <w:rsid w:val="002A77D8"/>
    <w:rsid w:val="002B0377"/>
    <w:rsid w:val="002B05FD"/>
    <w:rsid w:val="002B065E"/>
    <w:rsid w:val="002B3750"/>
    <w:rsid w:val="002C3447"/>
    <w:rsid w:val="002C6E94"/>
    <w:rsid w:val="002D07DD"/>
    <w:rsid w:val="002D29F5"/>
    <w:rsid w:val="002D2A69"/>
    <w:rsid w:val="002D30E7"/>
    <w:rsid w:val="002D5967"/>
    <w:rsid w:val="002D6DA5"/>
    <w:rsid w:val="002E32D8"/>
    <w:rsid w:val="002E4C1E"/>
    <w:rsid w:val="002E4CF9"/>
    <w:rsid w:val="002E6798"/>
    <w:rsid w:val="002E67D9"/>
    <w:rsid w:val="002F297D"/>
    <w:rsid w:val="002F7989"/>
    <w:rsid w:val="00300399"/>
    <w:rsid w:val="00301CC8"/>
    <w:rsid w:val="00304985"/>
    <w:rsid w:val="00306ACF"/>
    <w:rsid w:val="00310105"/>
    <w:rsid w:val="00312ADA"/>
    <w:rsid w:val="00314670"/>
    <w:rsid w:val="0031557E"/>
    <w:rsid w:val="0032112A"/>
    <w:rsid w:val="003235DA"/>
    <w:rsid w:val="00324A34"/>
    <w:rsid w:val="00327B39"/>
    <w:rsid w:val="003347B9"/>
    <w:rsid w:val="00337582"/>
    <w:rsid w:val="00340760"/>
    <w:rsid w:val="00340BC2"/>
    <w:rsid w:val="003415D1"/>
    <w:rsid w:val="00345403"/>
    <w:rsid w:val="0034612C"/>
    <w:rsid w:val="00346E26"/>
    <w:rsid w:val="0034732F"/>
    <w:rsid w:val="0034750B"/>
    <w:rsid w:val="00347F9A"/>
    <w:rsid w:val="00350BE5"/>
    <w:rsid w:val="0035365E"/>
    <w:rsid w:val="00353CF1"/>
    <w:rsid w:val="00365D64"/>
    <w:rsid w:val="00366DF3"/>
    <w:rsid w:val="0036796B"/>
    <w:rsid w:val="003738D2"/>
    <w:rsid w:val="003762F9"/>
    <w:rsid w:val="00377CFE"/>
    <w:rsid w:val="0038006E"/>
    <w:rsid w:val="00381CA8"/>
    <w:rsid w:val="0038388E"/>
    <w:rsid w:val="003840B2"/>
    <w:rsid w:val="00386AC5"/>
    <w:rsid w:val="00387BEF"/>
    <w:rsid w:val="003902DC"/>
    <w:rsid w:val="0039308F"/>
    <w:rsid w:val="00393D07"/>
    <w:rsid w:val="003945B3"/>
    <w:rsid w:val="003948A6"/>
    <w:rsid w:val="00395318"/>
    <w:rsid w:val="003A0B0B"/>
    <w:rsid w:val="003A0D9B"/>
    <w:rsid w:val="003A5838"/>
    <w:rsid w:val="003B232D"/>
    <w:rsid w:val="003C3201"/>
    <w:rsid w:val="003D0F9C"/>
    <w:rsid w:val="003D19F7"/>
    <w:rsid w:val="003D42FE"/>
    <w:rsid w:val="003D5994"/>
    <w:rsid w:val="003D72AF"/>
    <w:rsid w:val="003D7A5C"/>
    <w:rsid w:val="003E0B8C"/>
    <w:rsid w:val="003E4426"/>
    <w:rsid w:val="003F6EC6"/>
    <w:rsid w:val="00400362"/>
    <w:rsid w:val="00403908"/>
    <w:rsid w:val="004044B7"/>
    <w:rsid w:val="00405B17"/>
    <w:rsid w:val="00406237"/>
    <w:rsid w:val="00407D0E"/>
    <w:rsid w:val="00412975"/>
    <w:rsid w:val="004130DA"/>
    <w:rsid w:val="0041354A"/>
    <w:rsid w:val="0041383A"/>
    <w:rsid w:val="00413EDA"/>
    <w:rsid w:val="00417DED"/>
    <w:rsid w:val="004249A8"/>
    <w:rsid w:val="0042781F"/>
    <w:rsid w:val="00427CE2"/>
    <w:rsid w:val="00437840"/>
    <w:rsid w:val="00440CF7"/>
    <w:rsid w:val="004415DD"/>
    <w:rsid w:val="00441E14"/>
    <w:rsid w:val="004449E7"/>
    <w:rsid w:val="00445286"/>
    <w:rsid w:val="0044621B"/>
    <w:rsid w:val="00447F98"/>
    <w:rsid w:val="00451BD5"/>
    <w:rsid w:val="0045259C"/>
    <w:rsid w:val="004542BE"/>
    <w:rsid w:val="004605EA"/>
    <w:rsid w:val="00464222"/>
    <w:rsid w:val="00465042"/>
    <w:rsid w:val="00467317"/>
    <w:rsid w:val="00470B6B"/>
    <w:rsid w:val="00472034"/>
    <w:rsid w:val="0047442E"/>
    <w:rsid w:val="004748DD"/>
    <w:rsid w:val="0047653C"/>
    <w:rsid w:val="00476873"/>
    <w:rsid w:val="004811AD"/>
    <w:rsid w:val="00484CD5"/>
    <w:rsid w:val="004854FD"/>
    <w:rsid w:val="00485758"/>
    <w:rsid w:val="00485AB1"/>
    <w:rsid w:val="0048751B"/>
    <w:rsid w:val="00490141"/>
    <w:rsid w:val="00490A28"/>
    <w:rsid w:val="004919D7"/>
    <w:rsid w:val="0049241D"/>
    <w:rsid w:val="004A2EB5"/>
    <w:rsid w:val="004A2EED"/>
    <w:rsid w:val="004A5C72"/>
    <w:rsid w:val="004A5FD3"/>
    <w:rsid w:val="004B0B0B"/>
    <w:rsid w:val="004B1F7C"/>
    <w:rsid w:val="004B2FD2"/>
    <w:rsid w:val="004B3E40"/>
    <w:rsid w:val="004B52A5"/>
    <w:rsid w:val="004C07E5"/>
    <w:rsid w:val="004C0E57"/>
    <w:rsid w:val="004C1E7E"/>
    <w:rsid w:val="004C4462"/>
    <w:rsid w:val="004C74BB"/>
    <w:rsid w:val="004D023D"/>
    <w:rsid w:val="004D2B60"/>
    <w:rsid w:val="004D313C"/>
    <w:rsid w:val="004D35A2"/>
    <w:rsid w:val="004D5C4C"/>
    <w:rsid w:val="004D5D08"/>
    <w:rsid w:val="004D729D"/>
    <w:rsid w:val="004E0259"/>
    <w:rsid w:val="004E1C58"/>
    <w:rsid w:val="004E27B2"/>
    <w:rsid w:val="004E7680"/>
    <w:rsid w:val="004F1350"/>
    <w:rsid w:val="004F159A"/>
    <w:rsid w:val="004F1602"/>
    <w:rsid w:val="004F4743"/>
    <w:rsid w:val="004F6B9C"/>
    <w:rsid w:val="004F7C24"/>
    <w:rsid w:val="00502BFF"/>
    <w:rsid w:val="005035A1"/>
    <w:rsid w:val="00504E8E"/>
    <w:rsid w:val="00510832"/>
    <w:rsid w:val="0051607A"/>
    <w:rsid w:val="00520934"/>
    <w:rsid w:val="005253D1"/>
    <w:rsid w:val="005319D1"/>
    <w:rsid w:val="00532FEA"/>
    <w:rsid w:val="00533200"/>
    <w:rsid w:val="00535135"/>
    <w:rsid w:val="0053674A"/>
    <w:rsid w:val="0055424D"/>
    <w:rsid w:val="00554DE3"/>
    <w:rsid w:val="00556197"/>
    <w:rsid w:val="00556528"/>
    <w:rsid w:val="00556807"/>
    <w:rsid w:val="00557151"/>
    <w:rsid w:val="00557DEF"/>
    <w:rsid w:val="005601C3"/>
    <w:rsid w:val="00561F50"/>
    <w:rsid w:val="00564255"/>
    <w:rsid w:val="00565F1E"/>
    <w:rsid w:val="005671CD"/>
    <w:rsid w:val="005718C8"/>
    <w:rsid w:val="0057559F"/>
    <w:rsid w:val="00577E79"/>
    <w:rsid w:val="005828E4"/>
    <w:rsid w:val="00582FE5"/>
    <w:rsid w:val="005835D6"/>
    <w:rsid w:val="00584270"/>
    <w:rsid w:val="00584B5F"/>
    <w:rsid w:val="005878DC"/>
    <w:rsid w:val="0059027A"/>
    <w:rsid w:val="00590F6A"/>
    <w:rsid w:val="00591EFF"/>
    <w:rsid w:val="0059285B"/>
    <w:rsid w:val="00595E41"/>
    <w:rsid w:val="005A01F4"/>
    <w:rsid w:val="005B17BB"/>
    <w:rsid w:val="005B1E51"/>
    <w:rsid w:val="005B1E5C"/>
    <w:rsid w:val="005B4CF0"/>
    <w:rsid w:val="005B5A00"/>
    <w:rsid w:val="005C0819"/>
    <w:rsid w:val="005C0C1D"/>
    <w:rsid w:val="005C1B6D"/>
    <w:rsid w:val="005C25C6"/>
    <w:rsid w:val="005C35E3"/>
    <w:rsid w:val="005C5278"/>
    <w:rsid w:val="005D2C62"/>
    <w:rsid w:val="005D397C"/>
    <w:rsid w:val="005D7B29"/>
    <w:rsid w:val="005D7C94"/>
    <w:rsid w:val="005E2FC8"/>
    <w:rsid w:val="005E495B"/>
    <w:rsid w:val="005E6C00"/>
    <w:rsid w:val="005F0089"/>
    <w:rsid w:val="005F0B86"/>
    <w:rsid w:val="005F15B0"/>
    <w:rsid w:val="005F2D97"/>
    <w:rsid w:val="005F3327"/>
    <w:rsid w:val="005F63D3"/>
    <w:rsid w:val="006009AA"/>
    <w:rsid w:val="00602C2C"/>
    <w:rsid w:val="00602DC2"/>
    <w:rsid w:val="0060322A"/>
    <w:rsid w:val="00606168"/>
    <w:rsid w:val="00606F48"/>
    <w:rsid w:val="00610461"/>
    <w:rsid w:val="0061341E"/>
    <w:rsid w:val="00614CBF"/>
    <w:rsid w:val="00615D75"/>
    <w:rsid w:val="00621318"/>
    <w:rsid w:val="0062185C"/>
    <w:rsid w:val="0062365A"/>
    <w:rsid w:val="00623F12"/>
    <w:rsid w:val="006324D0"/>
    <w:rsid w:val="00633418"/>
    <w:rsid w:val="0063366D"/>
    <w:rsid w:val="00635701"/>
    <w:rsid w:val="00641F75"/>
    <w:rsid w:val="00642429"/>
    <w:rsid w:val="00642968"/>
    <w:rsid w:val="006448AD"/>
    <w:rsid w:val="00650CC5"/>
    <w:rsid w:val="00652731"/>
    <w:rsid w:val="00652A53"/>
    <w:rsid w:val="0065441D"/>
    <w:rsid w:val="006547F5"/>
    <w:rsid w:val="00654C50"/>
    <w:rsid w:val="00655DAA"/>
    <w:rsid w:val="00661E43"/>
    <w:rsid w:val="0066213A"/>
    <w:rsid w:val="00663249"/>
    <w:rsid w:val="00663310"/>
    <w:rsid w:val="00664406"/>
    <w:rsid w:val="006647E5"/>
    <w:rsid w:val="00671900"/>
    <w:rsid w:val="006719BC"/>
    <w:rsid w:val="00674690"/>
    <w:rsid w:val="00674F03"/>
    <w:rsid w:val="006803F9"/>
    <w:rsid w:val="00684CB4"/>
    <w:rsid w:val="00686C04"/>
    <w:rsid w:val="006904F0"/>
    <w:rsid w:val="00691443"/>
    <w:rsid w:val="006938D4"/>
    <w:rsid w:val="006947C2"/>
    <w:rsid w:val="006A01A6"/>
    <w:rsid w:val="006A19F6"/>
    <w:rsid w:val="006A46F8"/>
    <w:rsid w:val="006A5A2F"/>
    <w:rsid w:val="006B1E72"/>
    <w:rsid w:val="006B325B"/>
    <w:rsid w:val="006B6C03"/>
    <w:rsid w:val="006B7939"/>
    <w:rsid w:val="006C25F3"/>
    <w:rsid w:val="006C2C17"/>
    <w:rsid w:val="006C38E1"/>
    <w:rsid w:val="006C4398"/>
    <w:rsid w:val="006C590D"/>
    <w:rsid w:val="006C7E57"/>
    <w:rsid w:val="006D07E4"/>
    <w:rsid w:val="006D3A4A"/>
    <w:rsid w:val="006D5878"/>
    <w:rsid w:val="006D64C9"/>
    <w:rsid w:val="006D6AA5"/>
    <w:rsid w:val="006E413D"/>
    <w:rsid w:val="006E5EB8"/>
    <w:rsid w:val="006F0C2F"/>
    <w:rsid w:val="006F5315"/>
    <w:rsid w:val="006F59D7"/>
    <w:rsid w:val="006F5E54"/>
    <w:rsid w:val="006F71D8"/>
    <w:rsid w:val="0070121D"/>
    <w:rsid w:val="00701755"/>
    <w:rsid w:val="00701BD9"/>
    <w:rsid w:val="00704666"/>
    <w:rsid w:val="00705089"/>
    <w:rsid w:val="007059F6"/>
    <w:rsid w:val="00706582"/>
    <w:rsid w:val="00706BAF"/>
    <w:rsid w:val="00710527"/>
    <w:rsid w:val="007105AF"/>
    <w:rsid w:val="00711949"/>
    <w:rsid w:val="007128A1"/>
    <w:rsid w:val="007152B1"/>
    <w:rsid w:val="00715651"/>
    <w:rsid w:val="00715E14"/>
    <w:rsid w:val="007178E5"/>
    <w:rsid w:val="00721ADA"/>
    <w:rsid w:val="00722E6E"/>
    <w:rsid w:val="007234AC"/>
    <w:rsid w:val="00724821"/>
    <w:rsid w:val="0072693B"/>
    <w:rsid w:val="00730800"/>
    <w:rsid w:val="0073113D"/>
    <w:rsid w:val="00732507"/>
    <w:rsid w:val="00734DE7"/>
    <w:rsid w:val="0074110D"/>
    <w:rsid w:val="00742A6F"/>
    <w:rsid w:val="00745920"/>
    <w:rsid w:val="00746474"/>
    <w:rsid w:val="00746A4C"/>
    <w:rsid w:val="00747A4F"/>
    <w:rsid w:val="007540E1"/>
    <w:rsid w:val="00754E87"/>
    <w:rsid w:val="0075654B"/>
    <w:rsid w:val="00756F39"/>
    <w:rsid w:val="007602EF"/>
    <w:rsid w:val="00765106"/>
    <w:rsid w:val="00765D9F"/>
    <w:rsid w:val="00767B61"/>
    <w:rsid w:val="00770241"/>
    <w:rsid w:val="007755EF"/>
    <w:rsid w:val="00775BB2"/>
    <w:rsid w:val="00776298"/>
    <w:rsid w:val="00776EA7"/>
    <w:rsid w:val="007835F8"/>
    <w:rsid w:val="00784DD2"/>
    <w:rsid w:val="00785760"/>
    <w:rsid w:val="0078595D"/>
    <w:rsid w:val="0078776B"/>
    <w:rsid w:val="00790AA2"/>
    <w:rsid w:val="007921C2"/>
    <w:rsid w:val="00792C41"/>
    <w:rsid w:val="0079496E"/>
    <w:rsid w:val="007950BA"/>
    <w:rsid w:val="00796F26"/>
    <w:rsid w:val="0079789C"/>
    <w:rsid w:val="00797D93"/>
    <w:rsid w:val="007A0BDF"/>
    <w:rsid w:val="007A0C27"/>
    <w:rsid w:val="007A31CD"/>
    <w:rsid w:val="007A4759"/>
    <w:rsid w:val="007A5D66"/>
    <w:rsid w:val="007B1620"/>
    <w:rsid w:val="007B26FA"/>
    <w:rsid w:val="007B476A"/>
    <w:rsid w:val="007B55ED"/>
    <w:rsid w:val="007B5C7E"/>
    <w:rsid w:val="007B6BF2"/>
    <w:rsid w:val="007C7C28"/>
    <w:rsid w:val="007D10A5"/>
    <w:rsid w:val="007D31DD"/>
    <w:rsid w:val="007D36A8"/>
    <w:rsid w:val="007D3C9C"/>
    <w:rsid w:val="007D43ED"/>
    <w:rsid w:val="007D561C"/>
    <w:rsid w:val="007E2AAD"/>
    <w:rsid w:val="007E723A"/>
    <w:rsid w:val="007F4670"/>
    <w:rsid w:val="007F5723"/>
    <w:rsid w:val="00806AE0"/>
    <w:rsid w:val="00811ABD"/>
    <w:rsid w:val="00816C6C"/>
    <w:rsid w:val="00817322"/>
    <w:rsid w:val="00820FDA"/>
    <w:rsid w:val="0083006C"/>
    <w:rsid w:val="00831844"/>
    <w:rsid w:val="00834033"/>
    <w:rsid w:val="00840CAC"/>
    <w:rsid w:val="008414AC"/>
    <w:rsid w:val="00841EF9"/>
    <w:rsid w:val="00843FCD"/>
    <w:rsid w:val="008441CC"/>
    <w:rsid w:val="0084610B"/>
    <w:rsid w:val="00846D99"/>
    <w:rsid w:val="008473C9"/>
    <w:rsid w:val="00847407"/>
    <w:rsid w:val="00853938"/>
    <w:rsid w:val="00863F85"/>
    <w:rsid w:val="008659EA"/>
    <w:rsid w:val="00865C1A"/>
    <w:rsid w:val="008714DB"/>
    <w:rsid w:val="00871BF5"/>
    <w:rsid w:val="008735DE"/>
    <w:rsid w:val="00875026"/>
    <w:rsid w:val="00875E9D"/>
    <w:rsid w:val="00876D33"/>
    <w:rsid w:val="008829BB"/>
    <w:rsid w:val="008830C6"/>
    <w:rsid w:val="00885525"/>
    <w:rsid w:val="00886BD6"/>
    <w:rsid w:val="008871A6"/>
    <w:rsid w:val="008919F2"/>
    <w:rsid w:val="0089402B"/>
    <w:rsid w:val="00894572"/>
    <w:rsid w:val="008963C2"/>
    <w:rsid w:val="008A0597"/>
    <w:rsid w:val="008A1A40"/>
    <w:rsid w:val="008A3F72"/>
    <w:rsid w:val="008A44A1"/>
    <w:rsid w:val="008A615B"/>
    <w:rsid w:val="008A72D1"/>
    <w:rsid w:val="008B4FB4"/>
    <w:rsid w:val="008B6053"/>
    <w:rsid w:val="008B78D2"/>
    <w:rsid w:val="008C33DE"/>
    <w:rsid w:val="008C3AEC"/>
    <w:rsid w:val="008C40C3"/>
    <w:rsid w:val="008C6184"/>
    <w:rsid w:val="008D08FC"/>
    <w:rsid w:val="008D35B3"/>
    <w:rsid w:val="008D3FC9"/>
    <w:rsid w:val="008D5150"/>
    <w:rsid w:val="008D5210"/>
    <w:rsid w:val="008D70C4"/>
    <w:rsid w:val="008D7920"/>
    <w:rsid w:val="008E017F"/>
    <w:rsid w:val="008E03E0"/>
    <w:rsid w:val="008E17FC"/>
    <w:rsid w:val="008E324E"/>
    <w:rsid w:val="008E456F"/>
    <w:rsid w:val="008E4B38"/>
    <w:rsid w:val="008E5D3A"/>
    <w:rsid w:val="008E5E2E"/>
    <w:rsid w:val="008E6935"/>
    <w:rsid w:val="008E77DF"/>
    <w:rsid w:val="008F2D91"/>
    <w:rsid w:val="008F361C"/>
    <w:rsid w:val="008F439D"/>
    <w:rsid w:val="008F6B95"/>
    <w:rsid w:val="00900315"/>
    <w:rsid w:val="00901312"/>
    <w:rsid w:val="00903579"/>
    <w:rsid w:val="00903601"/>
    <w:rsid w:val="00911EA1"/>
    <w:rsid w:val="00912258"/>
    <w:rsid w:val="0091405B"/>
    <w:rsid w:val="00916BCF"/>
    <w:rsid w:val="00922B36"/>
    <w:rsid w:val="009241C8"/>
    <w:rsid w:val="009279B9"/>
    <w:rsid w:val="009336C6"/>
    <w:rsid w:val="00934F55"/>
    <w:rsid w:val="0093557C"/>
    <w:rsid w:val="0093740F"/>
    <w:rsid w:val="0094257D"/>
    <w:rsid w:val="00943477"/>
    <w:rsid w:val="009439B5"/>
    <w:rsid w:val="00943AA6"/>
    <w:rsid w:val="00944F22"/>
    <w:rsid w:val="0094507A"/>
    <w:rsid w:val="009534B9"/>
    <w:rsid w:val="00953A98"/>
    <w:rsid w:val="00963DF7"/>
    <w:rsid w:val="00965803"/>
    <w:rsid w:val="00966CEE"/>
    <w:rsid w:val="00967161"/>
    <w:rsid w:val="00972575"/>
    <w:rsid w:val="00976771"/>
    <w:rsid w:val="009771E7"/>
    <w:rsid w:val="0098159F"/>
    <w:rsid w:val="00981DFF"/>
    <w:rsid w:val="00986F52"/>
    <w:rsid w:val="009870B7"/>
    <w:rsid w:val="0098742E"/>
    <w:rsid w:val="009937E9"/>
    <w:rsid w:val="00994044"/>
    <w:rsid w:val="009950FD"/>
    <w:rsid w:val="009A1830"/>
    <w:rsid w:val="009A29EB"/>
    <w:rsid w:val="009A2EEE"/>
    <w:rsid w:val="009A3CE2"/>
    <w:rsid w:val="009B017E"/>
    <w:rsid w:val="009B12EB"/>
    <w:rsid w:val="009B15BE"/>
    <w:rsid w:val="009B22BB"/>
    <w:rsid w:val="009B4244"/>
    <w:rsid w:val="009B4DEB"/>
    <w:rsid w:val="009B5CE4"/>
    <w:rsid w:val="009C0147"/>
    <w:rsid w:val="009C11C4"/>
    <w:rsid w:val="009C26DC"/>
    <w:rsid w:val="009C5327"/>
    <w:rsid w:val="009C5DB2"/>
    <w:rsid w:val="009C5EB5"/>
    <w:rsid w:val="009C6196"/>
    <w:rsid w:val="009C78ED"/>
    <w:rsid w:val="009D72B2"/>
    <w:rsid w:val="009E26A7"/>
    <w:rsid w:val="009E53B7"/>
    <w:rsid w:val="009E6061"/>
    <w:rsid w:val="009E7D2B"/>
    <w:rsid w:val="009E7E0C"/>
    <w:rsid w:val="009F00BB"/>
    <w:rsid w:val="009F0D90"/>
    <w:rsid w:val="009F340D"/>
    <w:rsid w:val="009F3881"/>
    <w:rsid w:val="009F4675"/>
    <w:rsid w:val="009F4D16"/>
    <w:rsid w:val="009F56CD"/>
    <w:rsid w:val="00A021B9"/>
    <w:rsid w:val="00A04F78"/>
    <w:rsid w:val="00A05D2D"/>
    <w:rsid w:val="00A14C2D"/>
    <w:rsid w:val="00A166A5"/>
    <w:rsid w:val="00A17946"/>
    <w:rsid w:val="00A226EB"/>
    <w:rsid w:val="00A24613"/>
    <w:rsid w:val="00A26819"/>
    <w:rsid w:val="00A27F6C"/>
    <w:rsid w:val="00A309AB"/>
    <w:rsid w:val="00A32BF4"/>
    <w:rsid w:val="00A340E6"/>
    <w:rsid w:val="00A36777"/>
    <w:rsid w:val="00A432CF"/>
    <w:rsid w:val="00A434E2"/>
    <w:rsid w:val="00A50979"/>
    <w:rsid w:val="00A5266A"/>
    <w:rsid w:val="00A53909"/>
    <w:rsid w:val="00A54F7E"/>
    <w:rsid w:val="00A632C0"/>
    <w:rsid w:val="00A64DD2"/>
    <w:rsid w:val="00A654EB"/>
    <w:rsid w:val="00A66326"/>
    <w:rsid w:val="00A66947"/>
    <w:rsid w:val="00A66980"/>
    <w:rsid w:val="00A669AC"/>
    <w:rsid w:val="00A70299"/>
    <w:rsid w:val="00A710D4"/>
    <w:rsid w:val="00A71D69"/>
    <w:rsid w:val="00A74BC4"/>
    <w:rsid w:val="00A764A9"/>
    <w:rsid w:val="00A777FD"/>
    <w:rsid w:val="00A8102B"/>
    <w:rsid w:val="00A82A04"/>
    <w:rsid w:val="00A82AF8"/>
    <w:rsid w:val="00A846F2"/>
    <w:rsid w:val="00A8577A"/>
    <w:rsid w:val="00A86B28"/>
    <w:rsid w:val="00A9037C"/>
    <w:rsid w:val="00A905E5"/>
    <w:rsid w:val="00A916A7"/>
    <w:rsid w:val="00A92D56"/>
    <w:rsid w:val="00A93F9C"/>
    <w:rsid w:val="00A94368"/>
    <w:rsid w:val="00A95111"/>
    <w:rsid w:val="00A951CA"/>
    <w:rsid w:val="00AA0023"/>
    <w:rsid w:val="00AB2116"/>
    <w:rsid w:val="00AB2924"/>
    <w:rsid w:val="00AB294B"/>
    <w:rsid w:val="00AB2BBD"/>
    <w:rsid w:val="00AB358E"/>
    <w:rsid w:val="00AB4BAE"/>
    <w:rsid w:val="00AC28F9"/>
    <w:rsid w:val="00AC5FDB"/>
    <w:rsid w:val="00AC73B6"/>
    <w:rsid w:val="00AD0297"/>
    <w:rsid w:val="00AD11AE"/>
    <w:rsid w:val="00AD6290"/>
    <w:rsid w:val="00AD74B5"/>
    <w:rsid w:val="00AD74D2"/>
    <w:rsid w:val="00AE2F97"/>
    <w:rsid w:val="00AE2FAB"/>
    <w:rsid w:val="00AE37E8"/>
    <w:rsid w:val="00AE3E0B"/>
    <w:rsid w:val="00AE4490"/>
    <w:rsid w:val="00AE5710"/>
    <w:rsid w:val="00AF09C8"/>
    <w:rsid w:val="00AF0B34"/>
    <w:rsid w:val="00AF0BA3"/>
    <w:rsid w:val="00AF1976"/>
    <w:rsid w:val="00AF2C50"/>
    <w:rsid w:val="00AF5698"/>
    <w:rsid w:val="00AF5A29"/>
    <w:rsid w:val="00B002FE"/>
    <w:rsid w:val="00B00CEE"/>
    <w:rsid w:val="00B01435"/>
    <w:rsid w:val="00B01B12"/>
    <w:rsid w:val="00B01F56"/>
    <w:rsid w:val="00B02D6E"/>
    <w:rsid w:val="00B0433D"/>
    <w:rsid w:val="00B04EC5"/>
    <w:rsid w:val="00B04FFE"/>
    <w:rsid w:val="00B07263"/>
    <w:rsid w:val="00B07B25"/>
    <w:rsid w:val="00B1010E"/>
    <w:rsid w:val="00B1018E"/>
    <w:rsid w:val="00B166AD"/>
    <w:rsid w:val="00B21EED"/>
    <w:rsid w:val="00B23C31"/>
    <w:rsid w:val="00B23E94"/>
    <w:rsid w:val="00B23FF4"/>
    <w:rsid w:val="00B242FA"/>
    <w:rsid w:val="00B246EC"/>
    <w:rsid w:val="00B27032"/>
    <w:rsid w:val="00B2796A"/>
    <w:rsid w:val="00B27B06"/>
    <w:rsid w:val="00B32F84"/>
    <w:rsid w:val="00B34492"/>
    <w:rsid w:val="00B35B2E"/>
    <w:rsid w:val="00B36027"/>
    <w:rsid w:val="00B41CFC"/>
    <w:rsid w:val="00B44CDA"/>
    <w:rsid w:val="00B45453"/>
    <w:rsid w:val="00B47613"/>
    <w:rsid w:val="00B50713"/>
    <w:rsid w:val="00B517E3"/>
    <w:rsid w:val="00B51FD6"/>
    <w:rsid w:val="00B528D5"/>
    <w:rsid w:val="00B52C50"/>
    <w:rsid w:val="00B54B7B"/>
    <w:rsid w:val="00B56FD0"/>
    <w:rsid w:val="00B61401"/>
    <w:rsid w:val="00B619D6"/>
    <w:rsid w:val="00B628DF"/>
    <w:rsid w:val="00B659C0"/>
    <w:rsid w:val="00B665CB"/>
    <w:rsid w:val="00B669B2"/>
    <w:rsid w:val="00B66C9E"/>
    <w:rsid w:val="00B67C9C"/>
    <w:rsid w:val="00B700F0"/>
    <w:rsid w:val="00B7101D"/>
    <w:rsid w:val="00B71D14"/>
    <w:rsid w:val="00B739EE"/>
    <w:rsid w:val="00B83996"/>
    <w:rsid w:val="00B84351"/>
    <w:rsid w:val="00B879A1"/>
    <w:rsid w:val="00B93C02"/>
    <w:rsid w:val="00B94C27"/>
    <w:rsid w:val="00B94CD6"/>
    <w:rsid w:val="00B94F61"/>
    <w:rsid w:val="00B951B3"/>
    <w:rsid w:val="00B96889"/>
    <w:rsid w:val="00B97692"/>
    <w:rsid w:val="00B976E0"/>
    <w:rsid w:val="00BA115E"/>
    <w:rsid w:val="00BA43EE"/>
    <w:rsid w:val="00BA6983"/>
    <w:rsid w:val="00BB1DA7"/>
    <w:rsid w:val="00BB6454"/>
    <w:rsid w:val="00BB681D"/>
    <w:rsid w:val="00BB710B"/>
    <w:rsid w:val="00BC0B96"/>
    <w:rsid w:val="00BC622D"/>
    <w:rsid w:val="00BC632F"/>
    <w:rsid w:val="00BD3334"/>
    <w:rsid w:val="00BD3BA8"/>
    <w:rsid w:val="00BD64DE"/>
    <w:rsid w:val="00BE39A5"/>
    <w:rsid w:val="00BE3F98"/>
    <w:rsid w:val="00BE6742"/>
    <w:rsid w:val="00BE7F03"/>
    <w:rsid w:val="00BF1707"/>
    <w:rsid w:val="00BF4727"/>
    <w:rsid w:val="00BF55AC"/>
    <w:rsid w:val="00BF6061"/>
    <w:rsid w:val="00BF6532"/>
    <w:rsid w:val="00BF6E99"/>
    <w:rsid w:val="00C00F4C"/>
    <w:rsid w:val="00C024B3"/>
    <w:rsid w:val="00C11A10"/>
    <w:rsid w:val="00C135ED"/>
    <w:rsid w:val="00C14C83"/>
    <w:rsid w:val="00C15D5B"/>
    <w:rsid w:val="00C16011"/>
    <w:rsid w:val="00C25B64"/>
    <w:rsid w:val="00C25C44"/>
    <w:rsid w:val="00C2636B"/>
    <w:rsid w:val="00C26BBF"/>
    <w:rsid w:val="00C31AA0"/>
    <w:rsid w:val="00C3348D"/>
    <w:rsid w:val="00C3406E"/>
    <w:rsid w:val="00C359D0"/>
    <w:rsid w:val="00C363D8"/>
    <w:rsid w:val="00C403B7"/>
    <w:rsid w:val="00C41A65"/>
    <w:rsid w:val="00C43F15"/>
    <w:rsid w:val="00C51F46"/>
    <w:rsid w:val="00C5555B"/>
    <w:rsid w:val="00C5749B"/>
    <w:rsid w:val="00C615DA"/>
    <w:rsid w:val="00C62981"/>
    <w:rsid w:val="00C64AB1"/>
    <w:rsid w:val="00C66FF3"/>
    <w:rsid w:val="00C675F2"/>
    <w:rsid w:val="00C70F63"/>
    <w:rsid w:val="00C735C6"/>
    <w:rsid w:val="00C7434B"/>
    <w:rsid w:val="00C74E87"/>
    <w:rsid w:val="00C80A01"/>
    <w:rsid w:val="00C81063"/>
    <w:rsid w:val="00C82134"/>
    <w:rsid w:val="00C86AD6"/>
    <w:rsid w:val="00C86B46"/>
    <w:rsid w:val="00C9213C"/>
    <w:rsid w:val="00C92CD8"/>
    <w:rsid w:val="00C949FA"/>
    <w:rsid w:val="00C94F09"/>
    <w:rsid w:val="00C97429"/>
    <w:rsid w:val="00CA1261"/>
    <w:rsid w:val="00CA16F5"/>
    <w:rsid w:val="00CA3CF7"/>
    <w:rsid w:val="00CA3F0F"/>
    <w:rsid w:val="00CA411D"/>
    <w:rsid w:val="00CA4E91"/>
    <w:rsid w:val="00CA4FB4"/>
    <w:rsid w:val="00CA72FA"/>
    <w:rsid w:val="00CA7474"/>
    <w:rsid w:val="00CB0873"/>
    <w:rsid w:val="00CB0C65"/>
    <w:rsid w:val="00CB183D"/>
    <w:rsid w:val="00CB2190"/>
    <w:rsid w:val="00CB2BEF"/>
    <w:rsid w:val="00CB36D4"/>
    <w:rsid w:val="00CB37FC"/>
    <w:rsid w:val="00CB69AF"/>
    <w:rsid w:val="00CC11FE"/>
    <w:rsid w:val="00CC21C4"/>
    <w:rsid w:val="00CC684A"/>
    <w:rsid w:val="00CC6BF3"/>
    <w:rsid w:val="00CC6DA2"/>
    <w:rsid w:val="00CD2006"/>
    <w:rsid w:val="00CD273B"/>
    <w:rsid w:val="00CD3175"/>
    <w:rsid w:val="00CD4F44"/>
    <w:rsid w:val="00CE1535"/>
    <w:rsid w:val="00CE3362"/>
    <w:rsid w:val="00CE33D9"/>
    <w:rsid w:val="00CE3447"/>
    <w:rsid w:val="00CE34EA"/>
    <w:rsid w:val="00CE3687"/>
    <w:rsid w:val="00CE43C9"/>
    <w:rsid w:val="00CE4F74"/>
    <w:rsid w:val="00CE7DD4"/>
    <w:rsid w:val="00CF10A3"/>
    <w:rsid w:val="00CF3968"/>
    <w:rsid w:val="00D00152"/>
    <w:rsid w:val="00D045BB"/>
    <w:rsid w:val="00D051E7"/>
    <w:rsid w:val="00D15E85"/>
    <w:rsid w:val="00D16EF9"/>
    <w:rsid w:val="00D1735C"/>
    <w:rsid w:val="00D20C89"/>
    <w:rsid w:val="00D224D6"/>
    <w:rsid w:val="00D22FDA"/>
    <w:rsid w:val="00D231A6"/>
    <w:rsid w:val="00D25389"/>
    <w:rsid w:val="00D30949"/>
    <w:rsid w:val="00D33B5F"/>
    <w:rsid w:val="00D34790"/>
    <w:rsid w:val="00D34ED3"/>
    <w:rsid w:val="00D36A4B"/>
    <w:rsid w:val="00D41E34"/>
    <w:rsid w:val="00D42995"/>
    <w:rsid w:val="00D44BD1"/>
    <w:rsid w:val="00D44CA3"/>
    <w:rsid w:val="00D47066"/>
    <w:rsid w:val="00D537F4"/>
    <w:rsid w:val="00D565DF"/>
    <w:rsid w:val="00D573E4"/>
    <w:rsid w:val="00D60FD9"/>
    <w:rsid w:val="00D61664"/>
    <w:rsid w:val="00D63865"/>
    <w:rsid w:val="00D64591"/>
    <w:rsid w:val="00D64BA9"/>
    <w:rsid w:val="00D67572"/>
    <w:rsid w:val="00D7141A"/>
    <w:rsid w:val="00D74276"/>
    <w:rsid w:val="00D74C78"/>
    <w:rsid w:val="00D77BEA"/>
    <w:rsid w:val="00D816A4"/>
    <w:rsid w:val="00D822A9"/>
    <w:rsid w:val="00D831A6"/>
    <w:rsid w:val="00D8446B"/>
    <w:rsid w:val="00D85CA3"/>
    <w:rsid w:val="00D87384"/>
    <w:rsid w:val="00D87D7E"/>
    <w:rsid w:val="00D91A58"/>
    <w:rsid w:val="00D91DA9"/>
    <w:rsid w:val="00D9747D"/>
    <w:rsid w:val="00DA0AB5"/>
    <w:rsid w:val="00DA216B"/>
    <w:rsid w:val="00DA34FD"/>
    <w:rsid w:val="00DA5E2C"/>
    <w:rsid w:val="00DA664B"/>
    <w:rsid w:val="00DA66B8"/>
    <w:rsid w:val="00DA761D"/>
    <w:rsid w:val="00DB2A1B"/>
    <w:rsid w:val="00DB2ED5"/>
    <w:rsid w:val="00DB3E7D"/>
    <w:rsid w:val="00DB4E3A"/>
    <w:rsid w:val="00DB5325"/>
    <w:rsid w:val="00DB5608"/>
    <w:rsid w:val="00DB7571"/>
    <w:rsid w:val="00DB7931"/>
    <w:rsid w:val="00DD092D"/>
    <w:rsid w:val="00DD1428"/>
    <w:rsid w:val="00DD4D25"/>
    <w:rsid w:val="00DE0CA7"/>
    <w:rsid w:val="00DE2AA8"/>
    <w:rsid w:val="00DE2D73"/>
    <w:rsid w:val="00DE40DB"/>
    <w:rsid w:val="00DE44FB"/>
    <w:rsid w:val="00DE51D3"/>
    <w:rsid w:val="00DE5FDE"/>
    <w:rsid w:val="00DE6F04"/>
    <w:rsid w:val="00DF014C"/>
    <w:rsid w:val="00DF02B2"/>
    <w:rsid w:val="00DF1534"/>
    <w:rsid w:val="00DF1DF6"/>
    <w:rsid w:val="00DF1FF7"/>
    <w:rsid w:val="00DF2038"/>
    <w:rsid w:val="00DF31F0"/>
    <w:rsid w:val="00DF5FF8"/>
    <w:rsid w:val="00DF77EF"/>
    <w:rsid w:val="00E06AE6"/>
    <w:rsid w:val="00E06E78"/>
    <w:rsid w:val="00E10D9D"/>
    <w:rsid w:val="00E1370B"/>
    <w:rsid w:val="00E1646E"/>
    <w:rsid w:val="00E16DAC"/>
    <w:rsid w:val="00E16F63"/>
    <w:rsid w:val="00E20163"/>
    <w:rsid w:val="00E206F9"/>
    <w:rsid w:val="00E2426C"/>
    <w:rsid w:val="00E247BC"/>
    <w:rsid w:val="00E27973"/>
    <w:rsid w:val="00E31161"/>
    <w:rsid w:val="00E31892"/>
    <w:rsid w:val="00E3322D"/>
    <w:rsid w:val="00E339FE"/>
    <w:rsid w:val="00E3447E"/>
    <w:rsid w:val="00E344FF"/>
    <w:rsid w:val="00E40D44"/>
    <w:rsid w:val="00E44D25"/>
    <w:rsid w:val="00E45B8A"/>
    <w:rsid w:val="00E46242"/>
    <w:rsid w:val="00E474DE"/>
    <w:rsid w:val="00E475A0"/>
    <w:rsid w:val="00E50630"/>
    <w:rsid w:val="00E51C7F"/>
    <w:rsid w:val="00E51FCB"/>
    <w:rsid w:val="00E55DCF"/>
    <w:rsid w:val="00E563C0"/>
    <w:rsid w:val="00E61365"/>
    <w:rsid w:val="00E62054"/>
    <w:rsid w:val="00E636CC"/>
    <w:rsid w:val="00E64C03"/>
    <w:rsid w:val="00E65732"/>
    <w:rsid w:val="00E66367"/>
    <w:rsid w:val="00E7048B"/>
    <w:rsid w:val="00E713E2"/>
    <w:rsid w:val="00E719E7"/>
    <w:rsid w:val="00E74472"/>
    <w:rsid w:val="00E74CFD"/>
    <w:rsid w:val="00E8169A"/>
    <w:rsid w:val="00E8316C"/>
    <w:rsid w:val="00E849DB"/>
    <w:rsid w:val="00E9001C"/>
    <w:rsid w:val="00E90FD5"/>
    <w:rsid w:val="00E917FF"/>
    <w:rsid w:val="00E92062"/>
    <w:rsid w:val="00E93014"/>
    <w:rsid w:val="00E949F1"/>
    <w:rsid w:val="00EA00E8"/>
    <w:rsid w:val="00EA0A29"/>
    <w:rsid w:val="00EA100F"/>
    <w:rsid w:val="00EA2AAF"/>
    <w:rsid w:val="00EA5259"/>
    <w:rsid w:val="00EA5349"/>
    <w:rsid w:val="00EA6446"/>
    <w:rsid w:val="00EB1708"/>
    <w:rsid w:val="00EB486E"/>
    <w:rsid w:val="00EB601C"/>
    <w:rsid w:val="00EB6A98"/>
    <w:rsid w:val="00EB6D95"/>
    <w:rsid w:val="00EB7843"/>
    <w:rsid w:val="00EB7D65"/>
    <w:rsid w:val="00EC08C1"/>
    <w:rsid w:val="00EC6651"/>
    <w:rsid w:val="00ED0989"/>
    <w:rsid w:val="00ED1647"/>
    <w:rsid w:val="00ED28F5"/>
    <w:rsid w:val="00ED3D79"/>
    <w:rsid w:val="00ED7410"/>
    <w:rsid w:val="00ED7DD9"/>
    <w:rsid w:val="00EE06FE"/>
    <w:rsid w:val="00EE1454"/>
    <w:rsid w:val="00EE35B2"/>
    <w:rsid w:val="00EE648A"/>
    <w:rsid w:val="00EE717F"/>
    <w:rsid w:val="00EE7289"/>
    <w:rsid w:val="00EF5897"/>
    <w:rsid w:val="00EF5E18"/>
    <w:rsid w:val="00EF6F6D"/>
    <w:rsid w:val="00EF6F84"/>
    <w:rsid w:val="00EF7536"/>
    <w:rsid w:val="00EF7A4A"/>
    <w:rsid w:val="00F02DD8"/>
    <w:rsid w:val="00F04DD1"/>
    <w:rsid w:val="00F06D82"/>
    <w:rsid w:val="00F0739A"/>
    <w:rsid w:val="00F0771C"/>
    <w:rsid w:val="00F13C2F"/>
    <w:rsid w:val="00F14D81"/>
    <w:rsid w:val="00F17F19"/>
    <w:rsid w:val="00F20C6F"/>
    <w:rsid w:val="00F22D4F"/>
    <w:rsid w:val="00F233ED"/>
    <w:rsid w:val="00F23436"/>
    <w:rsid w:val="00F23838"/>
    <w:rsid w:val="00F23839"/>
    <w:rsid w:val="00F238C6"/>
    <w:rsid w:val="00F23998"/>
    <w:rsid w:val="00F23B2D"/>
    <w:rsid w:val="00F24C1D"/>
    <w:rsid w:val="00F26532"/>
    <w:rsid w:val="00F30A89"/>
    <w:rsid w:val="00F31942"/>
    <w:rsid w:val="00F31A65"/>
    <w:rsid w:val="00F33F76"/>
    <w:rsid w:val="00F35925"/>
    <w:rsid w:val="00F363AF"/>
    <w:rsid w:val="00F41304"/>
    <w:rsid w:val="00F43172"/>
    <w:rsid w:val="00F45F2F"/>
    <w:rsid w:val="00F5080A"/>
    <w:rsid w:val="00F52031"/>
    <w:rsid w:val="00F52506"/>
    <w:rsid w:val="00F55212"/>
    <w:rsid w:val="00F55F34"/>
    <w:rsid w:val="00F60266"/>
    <w:rsid w:val="00F62817"/>
    <w:rsid w:val="00F641C5"/>
    <w:rsid w:val="00F645DA"/>
    <w:rsid w:val="00F70500"/>
    <w:rsid w:val="00F70FC5"/>
    <w:rsid w:val="00F710D6"/>
    <w:rsid w:val="00F73E04"/>
    <w:rsid w:val="00F765A7"/>
    <w:rsid w:val="00F77EC2"/>
    <w:rsid w:val="00F81CDA"/>
    <w:rsid w:val="00F84EDF"/>
    <w:rsid w:val="00F908B9"/>
    <w:rsid w:val="00F93FFD"/>
    <w:rsid w:val="00F95A0F"/>
    <w:rsid w:val="00FA4045"/>
    <w:rsid w:val="00FB2447"/>
    <w:rsid w:val="00FB389A"/>
    <w:rsid w:val="00FB794E"/>
    <w:rsid w:val="00FC1273"/>
    <w:rsid w:val="00FC1EBF"/>
    <w:rsid w:val="00FC2B44"/>
    <w:rsid w:val="00FC2F3E"/>
    <w:rsid w:val="00FC3B89"/>
    <w:rsid w:val="00FC41EB"/>
    <w:rsid w:val="00FD2FB8"/>
    <w:rsid w:val="00FD60E6"/>
    <w:rsid w:val="00FD7C84"/>
    <w:rsid w:val="00FE2616"/>
    <w:rsid w:val="00FE3A33"/>
    <w:rsid w:val="00FE52DF"/>
    <w:rsid w:val="00FE6A94"/>
    <w:rsid w:val="00FE797E"/>
    <w:rsid w:val="00FF1B87"/>
    <w:rsid w:val="00FF1F9F"/>
    <w:rsid w:val="00FF416D"/>
    <w:rsid w:val="00FF60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41B6E351"/>
  <w15:docId w15:val="{C5A6D2E4-0619-4944-BAEF-F68559B92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2185C"/>
    <w:rPr>
      <w:rFonts w:ascii="Arial" w:hAnsi="Arial"/>
    </w:rPr>
  </w:style>
  <w:style w:type="paragraph" w:styleId="Heading1">
    <w:name w:val="heading 1"/>
    <w:basedOn w:val="Normal"/>
    <w:next w:val="Normal"/>
    <w:qFormat/>
    <w:rsid w:val="007F5723"/>
    <w:pPr>
      <w:keepNext/>
      <w:ind w:left="360" w:hanging="360"/>
      <w:outlineLvl w:val="0"/>
    </w:pPr>
    <w:rPr>
      <w:b/>
    </w:rPr>
  </w:style>
  <w:style w:type="paragraph" w:styleId="Heading2">
    <w:name w:val="heading 2"/>
    <w:basedOn w:val="Normal"/>
    <w:next w:val="Normal"/>
    <w:link w:val="Heading2Char"/>
    <w:uiPriority w:val="99"/>
    <w:qFormat/>
    <w:rsid w:val="0062185C"/>
    <w:pPr>
      <w:keepNext/>
      <w:tabs>
        <w:tab w:val="left" w:pos="360"/>
      </w:tabs>
      <w:outlineLvl w:val="1"/>
    </w:pPr>
    <w:rPr>
      <w:b/>
    </w:rPr>
  </w:style>
  <w:style w:type="paragraph" w:styleId="Heading3">
    <w:name w:val="heading 3"/>
    <w:basedOn w:val="Normal"/>
    <w:next w:val="Normal"/>
    <w:qFormat/>
    <w:pPr>
      <w:keepNext/>
      <w:outlineLvl w:val="2"/>
    </w:pPr>
    <w:rPr>
      <w:u w:val="single"/>
    </w:rPr>
  </w:style>
  <w:style w:type="paragraph" w:styleId="Heading4">
    <w:name w:val="heading 4"/>
    <w:basedOn w:val="Normal"/>
    <w:next w:val="Normal"/>
    <w:qFormat/>
    <w:pPr>
      <w:keepNext/>
      <w:spacing w:before="240" w:after="60"/>
      <w:outlineLvl w:val="3"/>
    </w:pPr>
    <w:rPr>
      <w:b/>
    </w:rPr>
  </w:style>
  <w:style w:type="paragraph" w:styleId="Heading5">
    <w:name w:val="heading 5"/>
    <w:basedOn w:val="Normal"/>
    <w:next w:val="Normal"/>
    <w:qFormat/>
    <w:pPr>
      <w:spacing w:before="240" w:after="60"/>
      <w:outlineLvl w:val="4"/>
    </w:pPr>
    <w:rPr>
      <w:rFonts w:ascii="Times New Roman" w:hAnsi="Times New Roman"/>
      <w:sz w:val="22"/>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keepNext/>
      <w:widowControl w:val="0"/>
      <w:outlineLvl w:val="6"/>
    </w:pPr>
    <w:rPr>
      <w:color w:val="000000"/>
      <w:u w:val="single"/>
    </w:rPr>
  </w:style>
  <w:style w:type="paragraph" w:styleId="Heading8">
    <w:name w:val="heading 8"/>
    <w:basedOn w:val="Normal"/>
    <w:next w:val="Normal"/>
    <w:qFormat/>
    <w:pPr>
      <w:keepNext/>
      <w:tabs>
        <w:tab w:val="left" w:pos="1080"/>
        <w:tab w:val="left" w:pos="1710"/>
        <w:tab w:val="left" w:pos="2340"/>
      </w:tabs>
      <w:ind w:left="1530" w:hanging="1530"/>
      <w:outlineLvl w:val="7"/>
    </w:pPr>
    <w:rPr>
      <w:u w:val="single"/>
    </w:rPr>
  </w:style>
  <w:style w:type="paragraph" w:styleId="Heading9">
    <w:name w:val="heading 9"/>
    <w:basedOn w:val="Normal"/>
    <w:next w:val="Normal"/>
    <w:qFormat/>
    <w:pPr>
      <w:keepNext/>
      <w:widowControl w:val="0"/>
      <w:spacing w:line="360" w:lineRule="auto"/>
      <w:outlineLvl w:val="8"/>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pPr>
      <w:tabs>
        <w:tab w:val="left" w:pos="360"/>
      </w:tabs>
      <w:spacing w:after="180"/>
    </w:pPr>
    <w:rPr>
      <w:b/>
      <w:sz w:val="32"/>
    </w:rPr>
  </w:style>
  <w:style w:type="paragraph" w:customStyle="1" w:styleId="1">
    <w:name w:val="1."/>
    <w:basedOn w:val="Normal"/>
    <w:pPr>
      <w:ind w:left="720" w:hanging="360"/>
    </w:pPr>
  </w:style>
  <w:style w:type="paragraph" w:customStyle="1" w:styleId="a">
    <w:name w:val="a."/>
    <w:basedOn w:val="Normal"/>
    <w:pPr>
      <w:ind w:left="1080" w:hanging="360"/>
    </w:pPr>
  </w:style>
  <w:style w:type="paragraph" w:customStyle="1" w:styleId="10">
    <w:name w:val="(1)"/>
    <w:basedOn w:val="Normal"/>
    <w:pPr>
      <w:ind w:left="1224" w:hanging="144"/>
    </w:pPr>
  </w:style>
  <w:style w:type="paragraph" w:customStyle="1" w:styleId="References">
    <w:name w:val="References"/>
    <w:basedOn w:val="Normal"/>
    <w:pPr>
      <w:ind w:left="446" w:hanging="446"/>
    </w:pPr>
  </w:style>
  <w:style w:type="character" w:customStyle="1" w:styleId="Superscript">
    <w:name w:val="Superscript"/>
    <w:rsid w:val="0017251A"/>
    <w:rPr>
      <w:rFonts w:ascii="Arial" w:hAnsi="Arial"/>
      <w:sz w:val="20"/>
      <w:vertAlign w:val="superscript"/>
    </w:rPr>
  </w:style>
  <w:style w:type="paragraph" w:styleId="Footer">
    <w:name w:val="footer"/>
    <w:basedOn w:val="Normal"/>
    <w:pPr>
      <w:tabs>
        <w:tab w:val="center" w:pos="4320"/>
        <w:tab w:val="right" w:pos="8640"/>
      </w:tabs>
    </w:pPr>
  </w:style>
  <w:style w:type="character" w:styleId="PageNumber">
    <w:name w:val="page number"/>
    <w:rsid w:val="0062185C"/>
    <w:rPr>
      <w:rFonts w:ascii="Arial" w:hAnsi="Arial"/>
      <w:sz w:val="20"/>
    </w:rPr>
  </w:style>
  <w:style w:type="paragraph" w:customStyle="1" w:styleId="Grade">
    <w:name w:val="Grade"/>
    <w:basedOn w:val="Normal"/>
    <w:pPr>
      <w:ind w:left="1440" w:hanging="1440"/>
    </w:pPr>
  </w:style>
  <w:style w:type="paragraph" w:customStyle="1" w:styleId="TX">
    <w:name w:val="TX"/>
    <w:basedOn w:val="Normal"/>
    <w:pPr>
      <w:ind w:left="720" w:hanging="720"/>
    </w:pPr>
  </w:style>
  <w:style w:type="paragraph" w:customStyle="1" w:styleId="Stage">
    <w:name w:val="Stage"/>
    <w:basedOn w:val="Normal"/>
    <w:pPr>
      <w:tabs>
        <w:tab w:val="left" w:pos="1267"/>
        <w:tab w:val="left" w:pos="2160"/>
        <w:tab w:val="left" w:pos="3240"/>
      </w:tabs>
    </w:pPr>
  </w:style>
  <w:style w:type="paragraph" w:customStyle="1" w:styleId="iv">
    <w:name w:val="iv."/>
    <w:basedOn w:val="Normal"/>
    <w:pPr>
      <w:ind w:left="1800" w:hanging="360"/>
    </w:pPr>
  </w:style>
  <w:style w:type="paragraph" w:styleId="BodyText">
    <w:name w:val="Body Text"/>
    <w:basedOn w:val="Normal"/>
  </w:style>
  <w:style w:type="paragraph" w:customStyle="1" w:styleId="Head2">
    <w:name w:val="Head 2"/>
    <w:basedOn w:val="Normal"/>
    <w:rsid w:val="0062185C"/>
    <w:pPr>
      <w:keepNext/>
      <w:pBdr>
        <w:bottom w:val="single" w:sz="4" w:space="1" w:color="auto"/>
      </w:pBdr>
      <w:tabs>
        <w:tab w:val="left" w:pos="446"/>
        <w:tab w:val="left" w:pos="893"/>
      </w:tabs>
      <w:spacing w:after="60"/>
    </w:pPr>
    <w:rPr>
      <w:b/>
    </w:rPr>
  </w:style>
  <w:style w:type="paragraph" w:styleId="BodyTextIndent">
    <w:name w:val="Body Text Indent"/>
    <w:basedOn w:val="Normal"/>
    <w:pPr>
      <w:tabs>
        <w:tab w:val="left" w:pos="1080"/>
        <w:tab w:val="left" w:pos="1710"/>
        <w:tab w:val="left" w:pos="2340"/>
      </w:tabs>
      <w:ind w:left="1530" w:hanging="1530"/>
    </w:pPr>
  </w:style>
  <w:style w:type="paragraph" w:customStyle="1" w:styleId="Checklist2">
    <w:name w:val="Checklist 2"/>
    <w:basedOn w:val="Grade"/>
    <w:pPr>
      <w:tabs>
        <w:tab w:val="left" w:pos="1080"/>
      </w:tabs>
      <w:ind w:left="1080" w:hanging="1080"/>
    </w:pPr>
  </w:style>
  <w:style w:type="paragraph" w:styleId="Header">
    <w:name w:val="header"/>
    <w:basedOn w:val="Normal"/>
    <w:link w:val="HeaderChar"/>
    <w:uiPriority w:val="99"/>
    <w:pPr>
      <w:tabs>
        <w:tab w:val="right" w:pos="8640"/>
      </w:tabs>
    </w:pPr>
    <w:rPr>
      <w:b/>
    </w:rPr>
  </w:style>
  <w:style w:type="paragraph" w:customStyle="1" w:styleId="Text">
    <w:name w:val="Text"/>
    <w:pPr>
      <w:widowControl w:val="0"/>
      <w:tabs>
        <w:tab w:val="left" w:pos="360"/>
        <w:tab w:val="left" w:pos="720"/>
        <w:tab w:val="left" w:pos="1080"/>
        <w:tab w:val="left" w:pos="1440"/>
        <w:tab w:val="left" w:pos="1800"/>
        <w:tab w:val="left" w:pos="2160"/>
        <w:tab w:val="left" w:pos="2520"/>
        <w:tab w:val="left" w:pos="2880"/>
      </w:tabs>
      <w:spacing w:line="240" w:lineRule="atLeast"/>
    </w:pPr>
    <w:rPr>
      <w:rFonts w:ascii="Caslon 224 Book" w:hAnsi="Caslon 224 Book"/>
      <w:snapToGrid w:val="0"/>
    </w:rPr>
  </w:style>
  <w:style w:type="character" w:styleId="Strong">
    <w:name w:val="Strong"/>
    <w:qFormat/>
    <w:rPr>
      <w:b/>
    </w:rPr>
  </w:style>
  <w:style w:type="paragraph" w:styleId="BalloonText">
    <w:name w:val="Balloon Text"/>
    <w:basedOn w:val="Normal"/>
    <w:semiHidden/>
    <w:rPr>
      <w:rFonts w:ascii="Tahoma" w:hAnsi="Tahoma"/>
      <w:sz w:val="16"/>
    </w:rPr>
  </w:style>
  <w:style w:type="paragraph" w:styleId="BodyTextIndent2">
    <w:name w:val="Body Text Indent 2"/>
    <w:basedOn w:val="Normal"/>
    <w:pPr>
      <w:ind w:left="720"/>
    </w:pPr>
  </w:style>
  <w:style w:type="paragraph" w:customStyle="1" w:styleId="Head3">
    <w:name w:val="Head 3"/>
    <w:basedOn w:val="Normal"/>
    <w:pPr>
      <w:keepNext/>
      <w:jc w:val="right"/>
    </w:pPr>
    <w:rPr>
      <w:i/>
    </w:rPr>
  </w:style>
  <w:style w:type="paragraph" w:styleId="EndnoteText">
    <w:name w:val="endnote text"/>
    <w:basedOn w:val="Normal"/>
    <w:semiHidden/>
    <w:rPr>
      <w:sz w:val="24"/>
    </w:rPr>
  </w:style>
  <w:style w:type="character" w:styleId="EndnoteReference">
    <w:name w:val="endnote reference"/>
    <w:semiHidden/>
    <w:rPr>
      <w:vertAlign w:val="superscript"/>
    </w:rPr>
  </w:style>
  <w:style w:type="character" w:styleId="Hyperlink">
    <w:name w:val="Hyperlink"/>
    <w:rsid w:val="00B835D3"/>
    <w:rPr>
      <w:color w:val="0033CC"/>
      <w:u w:val="single"/>
    </w:rPr>
  </w:style>
  <w:style w:type="paragraph" w:styleId="NormalWeb">
    <w:name w:val="Normal (Web)"/>
    <w:basedOn w:val="Normal"/>
    <w:uiPriority w:val="99"/>
    <w:rsid w:val="00AF0F4B"/>
    <w:pPr>
      <w:spacing w:before="100" w:beforeAutospacing="1" w:after="100" w:afterAutospacing="1"/>
    </w:pPr>
    <w:rPr>
      <w:rFonts w:ascii="Times New Roman" w:hAnsi="Times New Roman"/>
      <w:color w:val="000000"/>
      <w:sz w:val="24"/>
      <w:szCs w:val="24"/>
    </w:rPr>
  </w:style>
  <w:style w:type="character" w:customStyle="1" w:styleId="titles-title1">
    <w:name w:val="titles-title1"/>
    <w:rsid w:val="004D4171"/>
    <w:rPr>
      <w:b/>
      <w:bCs/>
    </w:rPr>
  </w:style>
  <w:style w:type="character" w:customStyle="1" w:styleId="bibrecord-highlight1">
    <w:name w:val="bibrecord-highlight1"/>
    <w:rsid w:val="004D4171"/>
    <w:rPr>
      <w:b/>
      <w:bCs/>
      <w:color w:val="EE014C"/>
    </w:rPr>
  </w:style>
  <w:style w:type="character" w:customStyle="1" w:styleId="titles-pt1">
    <w:name w:val="titles-pt1"/>
    <w:rsid w:val="004D4171"/>
    <w:rPr>
      <w:color w:val="0A0905"/>
    </w:rPr>
  </w:style>
  <w:style w:type="character" w:customStyle="1" w:styleId="titles-source1">
    <w:name w:val="titles-source1"/>
    <w:rsid w:val="004D4171"/>
    <w:rPr>
      <w:i/>
      <w:iCs/>
    </w:rPr>
  </w:style>
  <w:style w:type="character" w:styleId="CommentReference">
    <w:name w:val="annotation reference"/>
    <w:semiHidden/>
    <w:rsid w:val="001A32FE"/>
    <w:rPr>
      <w:sz w:val="16"/>
      <w:szCs w:val="16"/>
    </w:rPr>
  </w:style>
  <w:style w:type="paragraph" w:styleId="CommentText">
    <w:name w:val="annotation text"/>
    <w:basedOn w:val="Normal"/>
    <w:link w:val="CommentTextChar"/>
    <w:semiHidden/>
    <w:rsid w:val="001A32FE"/>
  </w:style>
  <w:style w:type="paragraph" w:styleId="CommentSubject">
    <w:name w:val="annotation subject"/>
    <w:basedOn w:val="CommentText"/>
    <w:next w:val="CommentText"/>
    <w:semiHidden/>
    <w:rsid w:val="001A32FE"/>
    <w:rPr>
      <w:b/>
      <w:bCs/>
    </w:rPr>
  </w:style>
  <w:style w:type="character" w:customStyle="1" w:styleId="fulltext-it">
    <w:name w:val="fulltext-it"/>
    <w:basedOn w:val="DefaultParagraphFont"/>
    <w:rsid w:val="00BB3003"/>
  </w:style>
  <w:style w:type="character" w:customStyle="1" w:styleId="Heading2Char">
    <w:name w:val="Heading 2 Char"/>
    <w:link w:val="Heading2"/>
    <w:uiPriority w:val="99"/>
    <w:rsid w:val="0062185C"/>
    <w:rPr>
      <w:rFonts w:ascii="Arial" w:hAnsi="Arial"/>
      <w:b/>
    </w:rPr>
  </w:style>
  <w:style w:type="paragraph" w:styleId="ListParagraph">
    <w:name w:val="List Paragraph"/>
    <w:basedOn w:val="Normal"/>
    <w:uiPriority w:val="34"/>
    <w:qFormat/>
    <w:rsid w:val="00912258"/>
    <w:pPr>
      <w:ind w:left="720"/>
      <w:contextualSpacing/>
    </w:pPr>
  </w:style>
  <w:style w:type="paragraph" w:customStyle="1" w:styleId="EndNoteBibliography">
    <w:name w:val="EndNote Bibliography"/>
    <w:basedOn w:val="Normal"/>
    <w:link w:val="EndNoteBibliographyChar"/>
    <w:rsid w:val="00200ECA"/>
    <w:pPr>
      <w:spacing w:after="200"/>
    </w:pPr>
    <w:rPr>
      <w:rFonts w:ascii="Calibri" w:eastAsia="Calibri" w:hAnsi="Calibri"/>
      <w:noProof/>
      <w:sz w:val="22"/>
      <w:szCs w:val="22"/>
    </w:rPr>
  </w:style>
  <w:style w:type="character" w:customStyle="1" w:styleId="EndNoteBibliographyChar">
    <w:name w:val="EndNote Bibliography Char"/>
    <w:basedOn w:val="DefaultParagraphFont"/>
    <w:link w:val="EndNoteBibliography"/>
    <w:rsid w:val="00200ECA"/>
    <w:rPr>
      <w:rFonts w:ascii="Calibri" w:eastAsia="Calibri" w:hAnsi="Calibri"/>
      <w:noProof/>
      <w:sz w:val="22"/>
      <w:szCs w:val="22"/>
    </w:rPr>
  </w:style>
  <w:style w:type="table" w:styleId="TableGrid">
    <w:name w:val="Table Grid"/>
    <w:basedOn w:val="TableNormal"/>
    <w:uiPriority w:val="59"/>
    <w:rsid w:val="008E4B3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Column Header"/>
    <w:basedOn w:val="Normal"/>
    <w:next w:val="Normal"/>
    <w:link w:val="SubtitleChar"/>
    <w:uiPriority w:val="11"/>
    <w:qFormat/>
    <w:rsid w:val="008E4B38"/>
    <w:pPr>
      <w:numPr>
        <w:ilvl w:val="1"/>
      </w:numPr>
    </w:pPr>
    <w:rPr>
      <w:rFonts w:ascii="Calibri" w:eastAsiaTheme="majorEastAsia" w:hAnsi="Calibri" w:cstheme="majorBidi"/>
      <w:b/>
      <w:i/>
      <w:iCs/>
      <w:spacing w:val="15"/>
      <w:sz w:val="22"/>
      <w:szCs w:val="24"/>
    </w:rPr>
  </w:style>
  <w:style w:type="character" w:customStyle="1" w:styleId="SubtitleChar">
    <w:name w:val="Subtitle Char"/>
    <w:aliases w:val="Column Header Char"/>
    <w:basedOn w:val="DefaultParagraphFont"/>
    <w:link w:val="Subtitle"/>
    <w:uiPriority w:val="11"/>
    <w:rsid w:val="008E4B38"/>
    <w:rPr>
      <w:rFonts w:ascii="Calibri" w:eastAsiaTheme="majorEastAsia" w:hAnsi="Calibri" w:cstheme="majorBidi"/>
      <w:b/>
      <w:i/>
      <w:iCs/>
      <w:spacing w:val="15"/>
      <w:sz w:val="22"/>
      <w:szCs w:val="24"/>
    </w:rPr>
  </w:style>
  <w:style w:type="paragraph" w:customStyle="1" w:styleId="Sub-Topic2">
    <w:name w:val="Sub-Topic2"/>
    <w:basedOn w:val="Heading3"/>
    <w:link w:val="Sub-Topic2Char"/>
    <w:qFormat/>
    <w:rsid w:val="008E4B38"/>
    <w:pPr>
      <w:keepLines/>
      <w:spacing w:before="200"/>
    </w:pPr>
    <w:rPr>
      <w:rFonts w:asciiTheme="minorHAnsi" w:eastAsiaTheme="majorEastAsia" w:hAnsiTheme="minorHAnsi" w:cstheme="majorBidi"/>
      <w:b/>
      <w:bCs/>
      <w:sz w:val="24"/>
      <w:szCs w:val="22"/>
      <w:u w:val="none"/>
    </w:rPr>
  </w:style>
  <w:style w:type="character" w:customStyle="1" w:styleId="Sub-Topic2Char">
    <w:name w:val="Sub-Topic2 Char"/>
    <w:basedOn w:val="DefaultParagraphFont"/>
    <w:link w:val="Sub-Topic2"/>
    <w:rsid w:val="008E4B38"/>
    <w:rPr>
      <w:rFonts w:asciiTheme="minorHAnsi" w:eastAsiaTheme="majorEastAsia" w:hAnsiTheme="minorHAnsi" w:cstheme="majorBidi"/>
      <w:b/>
      <w:bCs/>
      <w:sz w:val="24"/>
      <w:szCs w:val="22"/>
    </w:rPr>
  </w:style>
  <w:style w:type="paragraph" w:customStyle="1" w:styleId="TableText">
    <w:name w:val="Table Text"/>
    <w:basedOn w:val="Normal"/>
    <w:link w:val="TableTextChar"/>
    <w:qFormat/>
    <w:rsid w:val="008E4B38"/>
    <w:rPr>
      <w:rFonts w:asciiTheme="minorHAnsi" w:eastAsiaTheme="minorHAnsi" w:hAnsiTheme="minorHAnsi" w:cstheme="minorBidi"/>
      <w:sz w:val="22"/>
      <w:szCs w:val="22"/>
    </w:rPr>
  </w:style>
  <w:style w:type="character" w:customStyle="1" w:styleId="TableTextChar">
    <w:name w:val="Table Text Char"/>
    <w:basedOn w:val="DefaultParagraphFont"/>
    <w:link w:val="TableText"/>
    <w:rsid w:val="008E4B38"/>
    <w:rPr>
      <w:rFonts w:asciiTheme="minorHAnsi" w:eastAsiaTheme="minorHAnsi" w:hAnsiTheme="minorHAnsi" w:cstheme="minorBidi"/>
      <w:sz w:val="22"/>
      <w:szCs w:val="22"/>
    </w:rPr>
  </w:style>
  <w:style w:type="paragraph" w:styleId="Revision">
    <w:name w:val="Revision"/>
    <w:hidden/>
    <w:uiPriority w:val="99"/>
    <w:semiHidden/>
    <w:rsid w:val="006C7E57"/>
    <w:rPr>
      <w:rFonts w:ascii="Arial" w:hAnsi="Arial"/>
    </w:rPr>
  </w:style>
  <w:style w:type="character" w:customStyle="1" w:styleId="HeaderChar">
    <w:name w:val="Header Char"/>
    <w:link w:val="Header"/>
    <w:uiPriority w:val="99"/>
    <w:rsid w:val="003D72AF"/>
    <w:rPr>
      <w:rFonts w:ascii="Arial" w:hAnsi="Arial"/>
      <w:b/>
    </w:rPr>
  </w:style>
  <w:style w:type="table" w:customStyle="1" w:styleId="TableGrid1">
    <w:name w:val="Table Grid1"/>
    <w:basedOn w:val="TableNormal"/>
    <w:next w:val="TableGrid"/>
    <w:uiPriority w:val="59"/>
    <w:rsid w:val="00564255"/>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B47613"/>
    <w:rPr>
      <w:i/>
      <w:iCs/>
    </w:rPr>
  </w:style>
  <w:style w:type="character" w:customStyle="1" w:styleId="CommentTextChar">
    <w:name w:val="Comment Text Char"/>
    <w:basedOn w:val="DefaultParagraphFont"/>
    <w:link w:val="CommentText"/>
    <w:semiHidden/>
    <w:rsid w:val="00C7434B"/>
    <w:rPr>
      <w:rFonts w:ascii="Arial" w:hAnsi="Arial"/>
    </w:rPr>
  </w:style>
  <w:style w:type="character" w:styleId="PlaceholderText">
    <w:name w:val="Placeholder Text"/>
    <w:basedOn w:val="DefaultParagraphFont"/>
    <w:uiPriority w:val="99"/>
    <w:semiHidden/>
    <w:rsid w:val="0047653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7263">
      <w:bodyDiv w:val="1"/>
      <w:marLeft w:val="0"/>
      <w:marRight w:val="0"/>
      <w:marTop w:val="0"/>
      <w:marBottom w:val="0"/>
      <w:divBdr>
        <w:top w:val="none" w:sz="0" w:space="0" w:color="auto"/>
        <w:left w:val="none" w:sz="0" w:space="0" w:color="auto"/>
        <w:bottom w:val="none" w:sz="0" w:space="0" w:color="auto"/>
        <w:right w:val="none" w:sz="0" w:space="0" w:color="auto"/>
      </w:divBdr>
      <w:divsChild>
        <w:div w:id="1617827932">
          <w:marLeft w:val="0"/>
          <w:marRight w:val="0"/>
          <w:marTop w:val="0"/>
          <w:marBottom w:val="0"/>
          <w:divBdr>
            <w:top w:val="none" w:sz="0" w:space="0" w:color="auto"/>
            <w:left w:val="none" w:sz="0" w:space="0" w:color="auto"/>
            <w:bottom w:val="none" w:sz="0" w:space="0" w:color="auto"/>
            <w:right w:val="none" w:sz="0" w:space="0" w:color="auto"/>
          </w:divBdr>
        </w:div>
      </w:divsChild>
    </w:div>
    <w:div w:id="17510159">
      <w:bodyDiv w:val="1"/>
      <w:marLeft w:val="0"/>
      <w:marRight w:val="0"/>
      <w:marTop w:val="0"/>
      <w:marBottom w:val="0"/>
      <w:divBdr>
        <w:top w:val="none" w:sz="0" w:space="0" w:color="auto"/>
        <w:left w:val="none" w:sz="0" w:space="0" w:color="auto"/>
        <w:bottom w:val="none" w:sz="0" w:space="0" w:color="auto"/>
        <w:right w:val="none" w:sz="0" w:space="0" w:color="auto"/>
      </w:divBdr>
    </w:div>
    <w:div w:id="278998511">
      <w:bodyDiv w:val="1"/>
      <w:marLeft w:val="0"/>
      <w:marRight w:val="0"/>
      <w:marTop w:val="0"/>
      <w:marBottom w:val="0"/>
      <w:divBdr>
        <w:top w:val="none" w:sz="0" w:space="0" w:color="auto"/>
        <w:left w:val="none" w:sz="0" w:space="0" w:color="auto"/>
        <w:bottom w:val="none" w:sz="0" w:space="0" w:color="auto"/>
        <w:right w:val="none" w:sz="0" w:space="0" w:color="auto"/>
      </w:divBdr>
      <w:divsChild>
        <w:div w:id="1489518667">
          <w:marLeft w:val="0"/>
          <w:marRight w:val="0"/>
          <w:marTop w:val="0"/>
          <w:marBottom w:val="0"/>
          <w:divBdr>
            <w:top w:val="none" w:sz="0" w:space="0" w:color="auto"/>
            <w:left w:val="none" w:sz="0" w:space="0" w:color="auto"/>
            <w:bottom w:val="none" w:sz="0" w:space="0" w:color="auto"/>
            <w:right w:val="none" w:sz="0" w:space="0" w:color="auto"/>
          </w:divBdr>
        </w:div>
        <w:div w:id="373434224">
          <w:marLeft w:val="0"/>
          <w:marRight w:val="0"/>
          <w:marTop w:val="0"/>
          <w:marBottom w:val="0"/>
          <w:divBdr>
            <w:top w:val="none" w:sz="0" w:space="0" w:color="auto"/>
            <w:left w:val="none" w:sz="0" w:space="0" w:color="auto"/>
            <w:bottom w:val="none" w:sz="0" w:space="0" w:color="auto"/>
            <w:right w:val="none" w:sz="0" w:space="0" w:color="auto"/>
          </w:divBdr>
        </w:div>
      </w:divsChild>
    </w:div>
    <w:div w:id="409816236">
      <w:bodyDiv w:val="1"/>
      <w:marLeft w:val="0"/>
      <w:marRight w:val="0"/>
      <w:marTop w:val="0"/>
      <w:marBottom w:val="0"/>
      <w:divBdr>
        <w:top w:val="none" w:sz="0" w:space="0" w:color="auto"/>
        <w:left w:val="none" w:sz="0" w:space="0" w:color="auto"/>
        <w:bottom w:val="none" w:sz="0" w:space="0" w:color="auto"/>
        <w:right w:val="none" w:sz="0" w:space="0" w:color="auto"/>
      </w:divBdr>
      <w:divsChild>
        <w:div w:id="1455177906">
          <w:marLeft w:val="0"/>
          <w:marRight w:val="0"/>
          <w:marTop w:val="0"/>
          <w:marBottom w:val="0"/>
          <w:divBdr>
            <w:top w:val="none" w:sz="0" w:space="0" w:color="auto"/>
            <w:left w:val="none" w:sz="0" w:space="0" w:color="auto"/>
            <w:bottom w:val="none" w:sz="0" w:space="0" w:color="auto"/>
            <w:right w:val="none" w:sz="0" w:space="0" w:color="auto"/>
          </w:divBdr>
        </w:div>
      </w:divsChild>
    </w:div>
    <w:div w:id="586689304">
      <w:bodyDiv w:val="1"/>
      <w:marLeft w:val="0"/>
      <w:marRight w:val="0"/>
      <w:marTop w:val="0"/>
      <w:marBottom w:val="0"/>
      <w:divBdr>
        <w:top w:val="none" w:sz="0" w:space="0" w:color="auto"/>
        <w:left w:val="none" w:sz="0" w:space="0" w:color="auto"/>
        <w:bottom w:val="none" w:sz="0" w:space="0" w:color="auto"/>
        <w:right w:val="none" w:sz="0" w:space="0" w:color="auto"/>
      </w:divBdr>
    </w:div>
    <w:div w:id="815033773">
      <w:bodyDiv w:val="1"/>
      <w:marLeft w:val="0"/>
      <w:marRight w:val="0"/>
      <w:marTop w:val="0"/>
      <w:marBottom w:val="0"/>
      <w:divBdr>
        <w:top w:val="none" w:sz="0" w:space="0" w:color="auto"/>
        <w:left w:val="none" w:sz="0" w:space="0" w:color="auto"/>
        <w:bottom w:val="none" w:sz="0" w:space="0" w:color="auto"/>
        <w:right w:val="none" w:sz="0" w:space="0" w:color="auto"/>
      </w:divBdr>
    </w:div>
    <w:div w:id="1055541832">
      <w:bodyDiv w:val="1"/>
      <w:marLeft w:val="0"/>
      <w:marRight w:val="0"/>
      <w:marTop w:val="0"/>
      <w:marBottom w:val="0"/>
      <w:divBdr>
        <w:top w:val="none" w:sz="0" w:space="0" w:color="auto"/>
        <w:left w:val="none" w:sz="0" w:space="0" w:color="auto"/>
        <w:bottom w:val="none" w:sz="0" w:space="0" w:color="auto"/>
        <w:right w:val="none" w:sz="0" w:space="0" w:color="auto"/>
      </w:divBdr>
      <w:divsChild>
        <w:div w:id="1611208200">
          <w:marLeft w:val="0"/>
          <w:marRight w:val="0"/>
          <w:marTop w:val="0"/>
          <w:marBottom w:val="0"/>
          <w:divBdr>
            <w:top w:val="none" w:sz="0" w:space="0" w:color="auto"/>
            <w:left w:val="none" w:sz="0" w:space="0" w:color="auto"/>
            <w:bottom w:val="none" w:sz="0" w:space="0" w:color="auto"/>
            <w:right w:val="none" w:sz="0" w:space="0" w:color="auto"/>
          </w:divBdr>
          <w:divsChild>
            <w:div w:id="10385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737258">
      <w:bodyDiv w:val="1"/>
      <w:marLeft w:val="0"/>
      <w:marRight w:val="0"/>
      <w:marTop w:val="0"/>
      <w:marBottom w:val="0"/>
      <w:divBdr>
        <w:top w:val="none" w:sz="0" w:space="0" w:color="auto"/>
        <w:left w:val="none" w:sz="0" w:space="0" w:color="auto"/>
        <w:bottom w:val="none" w:sz="0" w:space="0" w:color="auto"/>
        <w:right w:val="none" w:sz="0" w:space="0" w:color="auto"/>
      </w:divBdr>
      <w:divsChild>
        <w:div w:id="1709992460">
          <w:marLeft w:val="0"/>
          <w:marRight w:val="0"/>
          <w:marTop w:val="0"/>
          <w:marBottom w:val="0"/>
          <w:divBdr>
            <w:top w:val="none" w:sz="0" w:space="0" w:color="auto"/>
            <w:left w:val="none" w:sz="0" w:space="0" w:color="auto"/>
            <w:bottom w:val="none" w:sz="0" w:space="0" w:color="auto"/>
            <w:right w:val="none" w:sz="0" w:space="0" w:color="auto"/>
          </w:divBdr>
        </w:div>
        <w:div w:id="1800878693">
          <w:marLeft w:val="0"/>
          <w:marRight w:val="0"/>
          <w:marTop w:val="0"/>
          <w:marBottom w:val="0"/>
          <w:divBdr>
            <w:top w:val="none" w:sz="0" w:space="0" w:color="auto"/>
            <w:left w:val="none" w:sz="0" w:space="0" w:color="auto"/>
            <w:bottom w:val="none" w:sz="0" w:space="0" w:color="auto"/>
            <w:right w:val="none" w:sz="0" w:space="0" w:color="auto"/>
          </w:divBdr>
        </w:div>
        <w:div w:id="1584534283">
          <w:marLeft w:val="0"/>
          <w:marRight w:val="0"/>
          <w:marTop w:val="0"/>
          <w:marBottom w:val="0"/>
          <w:divBdr>
            <w:top w:val="none" w:sz="0" w:space="0" w:color="auto"/>
            <w:left w:val="none" w:sz="0" w:space="0" w:color="auto"/>
            <w:bottom w:val="none" w:sz="0" w:space="0" w:color="auto"/>
            <w:right w:val="none" w:sz="0" w:space="0" w:color="auto"/>
          </w:divBdr>
        </w:div>
        <w:div w:id="505244371">
          <w:marLeft w:val="0"/>
          <w:marRight w:val="0"/>
          <w:marTop w:val="0"/>
          <w:marBottom w:val="0"/>
          <w:divBdr>
            <w:top w:val="none" w:sz="0" w:space="0" w:color="auto"/>
            <w:left w:val="none" w:sz="0" w:space="0" w:color="auto"/>
            <w:bottom w:val="none" w:sz="0" w:space="0" w:color="auto"/>
            <w:right w:val="none" w:sz="0" w:space="0" w:color="auto"/>
          </w:divBdr>
        </w:div>
        <w:div w:id="1190413915">
          <w:marLeft w:val="0"/>
          <w:marRight w:val="0"/>
          <w:marTop w:val="0"/>
          <w:marBottom w:val="0"/>
          <w:divBdr>
            <w:top w:val="none" w:sz="0" w:space="0" w:color="auto"/>
            <w:left w:val="none" w:sz="0" w:space="0" w:color="auto"/>
            <w:bottom w:val="none" w:sz="0" w:space="0" w:color="auto"/>
            <w:right w:val="none" w:sz="0" w:space="0" w:color="auto"/>
          </w:divBdr>
        </w:div>
        <w:div w:id="570889768">
          <w:marLeft w:val="0"/>
          <w:marRight w:val="0"/>
          <w:marTop w:val="0"/>
          <w:marBottom w:val="0"/>
          <w:divBdr>
            <w:top w:val="none" w:sz="0" w:space="0" w:color="auto"/>
            <w:left w:val="none" w:sz="0" w:space="0" w:color="auto"/>
            <w:bottom w:val="none" w:sz="0" w:space="0" w:color="auto"/>
            <w:right w:val="none" w:sz="0" w:space="0" w:color="auto"/>
          </w:divBdr>
        </w:div>
        <w:div w:id="142477169">
          <w:marLeft w:val="0"/>
          <w:marRight w:val="0"/>
          <w:marTop w:val="0"/>
          <w:marBottom w:val="0"/>
          <w:divBdr>
            <w:top w:val="none" w:sz="0" w:space="0" w:color="auto"/>
            <w:left w:val="none" w:sz="0" w:space="0" w:color="auto"/>
            <w:bottom w:val="none" w:sz="0" w:space="0" w:color="auto"/>
            <w:right w:val="none" w:sz="0" w:space="0" w:color="auto"/>
          </w:divBdr>
        </w:div>
        <w:div w:id="283353">
          <w:marLeft w:val="0"/>
          <w:marRight w:val="0"/>
          <w:marTop w:val="0"/>
          <w:marBottom w:val="0"/>
          <w:divBdr>
            <w:top w:val="none" w:sz="0" w:space="0" w:color="auto"/>
            <w:left w:val="none" w:sz="0" w:space="0" w:color="auto"/>
            <w:bottom w:val="none" w:sz="0" w:space="0" w:color="auto"/>
            <w:right w:val="none" w:sz="0" w:space="0" w:color="auto"/>
          </w:divBdr>
        </w:div>
        <w:div w:id="1644696933">
          <w:marLeft w:val="0"/>
          <w:marRight w:val="0"/>
          <w:marTop w:val="0"/>
          <w:marBottom w:val="0"/>
          <w:divBdr>
            <w:top w:val="none" w:sz="0" w:space="0" w:color="auto"/>
            <w:left w:val="none" w:sz="0" w:space="0" w:color="auto"/>
            <w:bottom w:val="none" w:sz="0" w:space="0" w:color="auto"/>
            <w:right w:val="none" w:sz="0" w:space="0" w:color="auto"/>
          </w:divBdr>
        </w:div>
      </w:divsChild>
    </w:div>
    <w:div w:id="1144926725">
      <w:bodyDiv w:val="1"/>
      <w:marLeft w:val="0"/>
      <w:marRight w:val="0"/>
      <w:marTop w:val="0"/>
      <w:marBottom w:val="0"/>
      <w:divBdr>
        <w:top w:val="none" w:sz="0" w:space="0" w:color="auto"/>
        <w:left w:val="none" w:sz="0" w:space="0" w:color="auto"/>
        <w:bottom w:val="none" w:sz="0" w:space="0" w:color="auto"/>
        <w:right w:val="none" w:sz="0" w:space="0" w:color="auto"/>
      </w:divBdr>
      <w:divsChild>
        <w:div w:id="575289126">
          <w:marLeft w:val="0"/>
          <w:marRight w:val="0"/>
          <w:marTop w:val="0"/>
          <w:marBottom w:val="0"/>
          <w:divBdr>
            <w:top w:val="none" w:sz="0" w:space="0" w:color="auto"/>
            <w:left w:val="none" w:sz="0" w:space="0" w:color="auto"/>
            <w:bottom w:val="none" w:sz="0" w:space="0" w:color="auto"/>
            <w:right w:val="none" w:sz="0" w:space="0" w:color="auto"/>
          </w:divBdr>
        </w:div>
        <w:div w:id="1116755467">
          <w:marLeft w:val="0"/>
          <w:marRight w:val="0"/>
          <w:marTop w:val="0"/>
          <w:marBottom w:val="0"/>
          <w:divBdr>
            <w:top w:val="none" w:sz="0" w:space="0" w:color="auto"/>
            <w:left w:val="none" w:sz="0" w:space="0" w:color="auto"/>
            <w:bottom w:val="none" w:sz="0" w:space="0" w:color="auto"/>
            <w:right w:val="none" w:sz="0" w:space="0" w:color="auto"/>
          </w:divBdr>
        </w:div>
        <w:div w:id="2100132971">
          <w:marLeft w:val="0"/>
          <w:marRight w:val="0"/>
          <w:marTop w:val="0"/>
          <w:marBottom w:val="0"/>
          <w:divBdr>
            <w:top w:val="none" w:sz="0" w:space="0" w:color="auto"/>
            <w:left w:val="none" w:sz="0" w:space="0" w:color="auto"/>
            <w:bottom w:val="none" w:sz="0" w:space="0" w:color="auto"/>
            <w:right w:val="none" w:sz="0" w:space="0" w:color="auto"/>
          </w:divBdr>
        </w:div>
        <w:div w:id="887181552">
          <w:marLeft w:val="0"/>
          <w:marRight w:val="0"/>
          <w:marTop w:val="0"/>
          <w:marBottom w:val="0"/>
          <w:divBdr>
            <w:top w:val="none" w:sz="0" w:space="0" w:color="auto"/>
            <w:left w:val="none" w:sz="0" w:space="0" w:color="auto"/>
            <w:bottom w:val="none" w:sz="0" w:space="0" w:color="auto"/>
            <w:right w:val="none" w:sz="0" w:space="0" w:color="auto"/>
          </w:divBdr>
        </w:div>
        <w:div w:id="670065990">
          <w:marLeft w:val="0"/>
          <w:marRight w:val="0"/>
          <w:marTop w:val="0"/>
          <w:marBottom w:val="0"/>
          <w:divBdr>
            <w:top w:val="none" w:sz="0" w:space="0" w:color="auto"/>
            <w:left w:val="none" w:sz="0" w:space="0" w:color="auto"/>
            <w:bottom w:val="none" w:sz="0" w:space="0" w:color="auto"/>
            <w:right w:val="none" w:sz="0" w:space="0" w:color="auto"/>
          </w:divBdr>
        </w:div>
        <w:div w:id="1689327708">
          <w:marLeft w:val="0"/>
          <w:marRight w:val="0"/>
          <w:marTop w:val="0"/>
          <w:marBottom w:val="0"/>
          <w:divBdr>
            <w:top w:val="none" w:sz="0" w:space="0" w:color="auto"/>
            <w:left w:val="none" w:sz="0" w:space="0" w:color="auto"/>
            <w:bottom w:val="none" w:sz="0" w:space="0" w:color="auto"/>
            <w:right w:val="none" w:sz="0" w:space="0" w:color="auto"/>
          </w:divBdr>
        </w:div>
        <w:div w:id="239220448">
          <w:marLeft w:val="0"/>
          <w:marRight w:val="0"/>
          <w:marTop w:val="0"/>
          <w:marBottom w:val="0"/>
          <w:divBdr>
            <w:top w:val="none" w:sz="0" w:space="0" w:color="auto"/>
            <w:left w:val="none" w:sz="0" w:space="0" w:color="auto"/>
            <w:bottom w:val="none" w:sz="0" w:space="0" w:color="auto"/>
            <w:right w:val="none" w:sz="0" w:space="0" w:color="auto"/>
          </w:divBdr>
        </w:div>
        <w:div w:id="998926695">
          <w:marLeft w:val="0"/>
          <w:marRight w:val="0"/>
          <w:marTop w:val="0"/>
          <w:marBottom w:val="0"/>
          <w:divBdr>
            <w:top w:val="none" w:sz="0" w:space="0" w:color="auto"/>
            <w:left w:val="none" w:sz="0" w:space="0" w:color="auto"/>
            <w:bottom w:val="none" w:sz="0" w:space="0" w:color="auto"/>
            <w:right w:val="none" w:sz="0" w:space="0" w:color="auto"/>
          </w:divBdr>
        </w:div>
      </w:divsChild>
    </w:div>
    <w:div w:id="1178350992">
      <w:bodyDiv w:val="1"/>
      <w:marLeft w:val="0"/>
      <w:marRight w:val="0"/>
      <w:marTop w:val="0"/>
      <w:marBottom w:val="0"/>
      <w:divBdr>
        <w:top w:val="none" w:sz="0" w:space="0" w:color="auto"/>
        <w:left w:val="none" w:sz="0" w:space="0" w:color="auto"/>
        <w:bottom w:val="none" w:sz="0" w:space="0" w:color="auto"/>
        <w:right w:val="none" w:sz="0" w:space="0" w:color="auto"/>
      </w:divBdr>
      <w:divsChild>
        <w:div w:id="1669359942">
          <w:marLeft w:val="0"/>
          <w:marRight w:val="0"/>
          <w:marTop w:val="0"/>
          <w:marBottom w:val="0"/>
          <w:divBdr>
            <w:top w:val="none" w:sz="0" w:space="0" w:color="auto"/>
            <w:left w:val="none" w:sz="0" w:space="0" w:color="auto"/>
            <w:bottom w:val="none" w:sz="0" w:space="0" w:color="auto"/>
            <w:right w:val="none" w:sz="0" w:space="0" w:color="auto"/>
          </w:divBdr>
        </w:div>
      </w:divsChild>
    </w:div>
    <w:div w:id="1432239246">
      <w:bodyDiv w:val="1"/>
      <w:marLeft w:val="0"/>
      <w:marRight w:val="0"/>
      <w:marTop w:val="0"/>
      <w:marBottom w:val="0"/>
      <w:divBdr>
        <w:top w:val="none" w:sz="0" w:space="0" w:color="auto"/>
        <w:left w:val="none" w:sz="0" w:space="0" w:color="auto"/>
        <w:bottom w:val="none" w:sz="0" w:space="0" w:color="auto"/>
        <w:right w:val="none" w:sz="0" w:space="0" w:color="auto"/>
      </w:divBdr>
      <w:divsChild>
        <w:div w:id="1618020953">
          <w:marLeft w:val="0"/>
          <w:marRight w:val="0"/>
          <w:marTop w:val="0"/>
          <w:marBottom w:val="0"/>
          <w:divBdr>
            <w:top w:val="none" w:sz="0" w:space="0" w:color="auto"/>
            <w:left w:val="none" w:sz="0" w:space="0" w:color="auto"/>
            <w:bottom w:val="none" w:sz="0" w:space="0" w:color="auto"/>
            <w:right w:val="none" w:sz="0" w:space="0" w:color="auto"/>
          </w:divBdr>
        </w:div>
        <w:div w:id="44258919">
          <w:marLeft w:val="0"/>
          <w:marRight w:val="0"/>
          <w:marTop w:val="0"/>
          <w:marBottom w:val="0"/>
          <w:divBdr>
            <w:top w:val="none" w:sz="0" w:space="0" w:color="auto"/>
            <w:left w:val="none" w:sz="0" w:space="0" w:color="auto"/>
            <w:bottom w:val="none" w:sz="0" w:space="0" w:color="auto"/>
            <w:right w:val="none" w:sz="0" w:space="0" w:color="auto"/>
          </w:divBdr>
        </w:div>
        <w:div w:id="1166749711">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746421371">
          <w:marLeft w:val="0"/>
          <w:marRight w:val="0"/>
          <w:marTop w:val="0"/>
          <w:marBottom w:val="0"/>
          <w:divBdr>
            <w:top w:val="none" w:sz="0" w:space="0" w:color="auto"/>
            <w:left w:val="none" w:sz="0" w:space="0" w:color="auto"/>
            <w:bottom w:val="none" w:sz="0" w:space="0" w:color="auto"/>
            <w:right w:val="none" w:sz="0" w:space="0" w:color="auto"/>
          </w:divBdr>
        </w:div>
        <w:div w:id="963198982">
          <w:marLeft w:val="0"/>
          <w:marRight w:val="0"/>
          <w:marTop w:val="0"/>
          <w:marBottom w:val="0"/>
          <w:divBdr>
            <w:top w:val="none" w:sz="0" w:space="0" w:color="auto"/>
            <w:left w:val="none" w:sz="0" w:space="0" w:color="auto"/>
            <w:bottom w:val="none" w:sz="0" w:space="0" w:color="auto"/>
            <w:right w:val="none" w:sz="0" w:space="0" w:color="auto"/>
          </w:divBdr>
        </w:div>
        <w:div w:id="943881675">
          <w:marLeft w:val="0"/>
          <w:marRight w:val="0"/>
          <w:marTop w:val="0"/>
          <w:marBottom w:val="0"/>
          <w:divBdr>
            <w:top w:val="none" w:sz="0" w:space="0" w:color="auto"/>
            <w:left w:val="none" w:sz="0" w:space="0" w:color="auto"/>
            <w:bottom w:val="none" w:sz="0" w:space="0" w:color="auto"/>
            <w:right w:val="none" w:sz="0" w:space="0" w:color="auto"/>
          </w:divBdr>
        </w:div>
        <w:div w:id="117460479">
          <w:marLeft w:val="0"/>
          <w:marRight w:val="0"/>
          <w:marTop w:val="0"/>
          <w:marBottom w:val="0"/>
          <w:divBdr>
            <w:top w:val="none" w:sz="0" w:space="0" w:color="auto"/>
            <w:left w:val="none" w:sz="0" w:space="0" w:color="auto"/>
            <w:bottom w:val="none" w:sz="0" w:space="0" w:color="auto"/>
            <w:right w:val="none" w:sz="0" w:space="0" w:color="auto"/>
          </w:divBdr>
        </w:div>
      </w:divsChild>
    </w:div>
    <w:div w:id="1530216939">
      <w:bodyDiv w:val="1"/>
      <w:marLeft w:val="0"/>
      <w:marRight w:val="0"/>
      <w:marTop w:val="0"/>
      <w:marBottom w:val="0"/>
      <w:divBdr>
        <w:top w:val="none" w:sz="0" w:space="0" w:color="auto"/>
        <w:left w:val="none" w:sz="0" w:space="0" w:color="auto"/>
        <w:bottom w:val="none" w:sz="0" w:space="0" w:color="auto"/>
        <w:right w:val="none" w:sz="0" w:space="0" w:color="auto"/>
      </w:divBdr>
      <w:divsChild>
        <w:div w:id="307757205">
          <w:marLeft w:val="0"/>
          <w:marRight w:val="0"/>
          <w:marTop w:val="0"/>
          <w:marBottom w:val="0"/>
          <w:divBdr>
            <w:top w:val="none" w:sz="0" w:space="0" w:color="auto"/>
            <w:left w:val="none" w:sz="0" w:space="0" w:color="auto"/>
            <w:bottom w:val="none" w:sz="0" w:space="0" w:color="auto"/>
            <w:right w:val="none" w:sz="0" w:space="0" w:color="auto"/>
          </w:divBdr>
        </w:div>
      </w:divsChild>
    </w:div>
    <w:div w:id="1540817395">
      <w:bodyDiv w:val="1"/>
      <w:marLeft w:val="0"/>
      <w:marRight w:val="0"/>
      <w:marTop w:val="0"/>
      <w:marBottom w:val="0"/>
      <w:divBdr>
        <w:top w:val="none" w:sz="0" w:space="0" w:color="auto"/>
        <w:left w:val="none" w:sz="0" w:space="0" w:color="auto"/>
        <w:bottom w:val="none" w:sz="0" w:space="0" w:color="auto"/>
        <w:right w:val="none" w:sz="0" w:space="0" w:color="auto"/>
      </w:divBdr>
      <w:divsChild>
        <w:div w:id="735128491">
          <w:marLeft w:val="0"/>
          <w:marRight w:val="0"/>
          <w:marTop w:val="0"/>
          <w:marBottom w:val="0"/>
          <w:divBdr>
            <w:top w:val="none" w:sz="0" w:space="0" w:color="auto"/>
            <w:left w:val="none" w:sz="0" w:space="0" w:color="auto"/>
            <w:bottom w:val="none" w:sz="0" w:space="0" w:color="auto"/>
            <w:right w:val="none" w:sz="0" w:space="0" w:color="auto"/>
          </w:divBdr>
        </w:div>
        <w:div w:id="1544631770">
          <w:marLeft w:val="0"/>
          <w:marRight w:val="0"/>
          <w:marTop w:val="0"/>
          <w:marBottom w:val="0"/>
          <w:divBdr>
            <w:top w:val="none" w:sz="0" w:space="0" w:color="auto"/>
            <w:left w:val="none" w:sz="0" w:space="0" w:color="auto"/>
            <w:bottom w:val="none" w:sz="0" w:space="0" w:color="auto"/>
            <w:right w:val="none" w:sz="0" w:space="0" w:color="auto"/>
          </w:divBdr>
        </w:div>
        <w:div w:id="1913348968">
          <w:marLeft w:val="0"/>
          <w:marRight w:val="0"/>
          <w:marTop w:val="0"/>
          <w:marBottom w:val="0"/>
          <w:divBdr>
            <w:top w:val="none" w:sz="0" w:space="0" w:color="auto"/>
            <w:left w:val="none" w:sz="0" w:space="0" w:color="auto"/>
            <w:bottom w:val="none" w:sz="0" w:space="0" w:color="auto"/>
            <w:right w:val="none" w:sz="0" w:space="0" w:color="auto"/>
          </w:divBdr>
        </w:div>
        <w:div w:id="687411528">
          <w:marLeft w:val="0"/>
          <w:marRight w:val="0"/>
          <w:marTop w:val="0"/>
          <w:marBottom w:val="0"/>
          <w:divBdr>
            <w:top w:val="none" w:sz="0" w:space="0" w:color="auto"/>
            <w:left w:val="none" w:sz="0" w:space="0" w:color="auto"/>
            <w:bottom w:val="none" w:sz="0" w:space="0" w:color="auto"/>
            <w:right w:val="none" w:sz="0" w:space="0" w:color="auto"/>
          </w:divBdr>
        </w:div>
        <w:div w:id="1991320420">
          <w:marLeft w:val="0"/>
          <w:marRight w:val="0"/>
          <w:marTop w:val="0"/>
          <w:marBottom w:val="0"/>
          <w:divBdr>
            <w:top w:val="none" w:sz="0" w:space="0" w:color="auto"/>
            <w:left w:val="none" w:sz="0" w:space="0" w:color="auto"/>
            <w:bottom w:val="none" w:sz="0" w:space="0" w:color="auto"/>
            <w:right w:val="none" w:sz="0" w:space="0" w:color="auto"/>
          </w:divBdr>
        </w:div>
        <w:div w:id="1091312050">
          <w:marLeft w:val="0"/>
          <w:marRight w:val="0"/>
          <w:marTop w:val="0"/>
          <w:marBottom w:val="0"/>
          <w:divBdr>
            <w:top w:val="none" w:sz="0" w:space="0" w:color="auto"/>
            <w:left w:val="none" w:sz="0" w:space="0" w:color="auto"/>
            <w:bottom w:val="none" w:sz="0" w:space="0" w:color="auto"/>
            <w:right w:val="none" w:sz="0" w:space="0" w:color="auto"/>
          </w:divBdr>
        </w:div>
      </w:divsChild>
    </w:div>
    <w:div w:id="1586107282">
      <w:bodyDiv w:val="1"/>
      <w:marLeft w:val="0"/>
      <w:marRight w:val="0"/>
      <w:marTop w:val="0"/>
      <w:marBottom w:val="0"/>
      <w:divBdr>
        <w:top w:val="none" w:sz="0" w:space="0" w:color="auto"/>
        <w:left w:val="none" w:sz="0" w:space="0" w:color="auto"/>
        <w:bottom w:val="none" w:sz="0" w:space="0" w:color="auto"/>
        <w:right w:val="none" w:sz="0" w:space="0" w:color="auto"/>
      </w:divBdr>
      <w:divsChild>
        <w:div w:id="630937107">
          <w:marLeft w:val="0"/>
          <w:marRight w:val="0"/>
          <w:marTop w:val="0"/>
          <w:marBottom w:val="0"/>
          <w:divBdr>
            <w:top w:val="none" w:sz="0" w:space="0" w:color="auto"/>
            <w:left w:val="none" w:sz="0" w:space="0" w:color="auto"/>
            <w:bottom w:val="none" w:sz="0" w:space="0" w:color="auto"/>
            <w:right w:val="none" w:sz="0" w:space="0" w:color="auto"/>
          </w:divBdr>
        </w:div>
        <w:div w:id="765612798">
          <w:marLeft w:val="0"/>
          <w:marRight w:val="0"/>
          <w:marTop w:val="0"/>
          <w:marBottom w:val="0"/>
          <w:divBdr>
            <w:top w:val="none" w:sz="0" w:space="0" w:color="auto"/>
            <w:left w:val="none" w:sz="0" w:space="0" w:color="auto"/>
            <w:bottom w:val="none" w:sz="0" w:space="0" w:color="auto"/>
            <w:right w:val="none" w:sz="0" w:space="0" w:color="auto"/>
          </w:divBdr>
        </w:div>
        <w:div w:id="210117370">
          <w:marLeft w:val="0"/>
          <w:marRight w:val="0"/>
          <w:marTop w:val="0"/>
          <w:marBottom w:val="0"/>
          <w:divBdr>
            <w:top w:val="none" w:sz="0" w:space="0" w:color="auto"/>
            <w:left w:val="none" w:sz="0" w:space="0" w:color="auto"/>
            <w:bottom w:val="none" w:sz="0" w:space="0" w:color="auto"/>
            <w:right w:val="none" w:sz="0" w:space="0" w:color="auto"/>
          </w:divBdr>
        </w:div>
        <w:div w:id="1652564561">
          <w:marLeft w:val="0"/>
          <w:marRight w:val="0"/>
          <w:marTop w:val="0"/>
          <w:marBottom w:val="0"/>
          <w:divBdr>
            <w:top w:val="none" w:sz="0" w:space="0" w:color="auto"/>
            <w:left w:val="none" w:sz="0" w:space="0" w:color="auto"/>
            <w:bottom w:val="none" w:sz="0" w:space="0" w:color="auto"/>
            <w:right w:val="none" w:sz="0" w:space="0" w:color="auto"/>
          </w:divBdr>
        </w:div>
        <w:div w:id="460003045">
          <w:marLeft w:val="0"/>
          <w:marRight w:val="0"/>
          <w:marTop w:val="0"/>
          <w:marBottom w:val="0"/>
          <w:divBdr>
            <w:top w:val="none" w:sz="0" w:space="0" w:color="auto"/>
            <w:left w:val="none" w:sz="0" w:space="0" w:color="auto"/>
            <w:bottom w:val="none" w:sz="0" w:space="0" w:color="auto"/>
            <w:right w:val="none" w:sz="0" w:space="0" w:color="auto"/>
          </w:divBdr>
        </w:div>
      </w:divsChild>
    </w:div>
    <w:div w:id="1648514418">
      <w:bodyDiv w:val="1"/>
      <w:marLeft w:val="0"/>
      <w:marRight w:val="0"/>
      <w:marTop w:val="0"/>
      <w:marBottom w:val="0"/>
      <w:divBdr>
        <w:top w:val="none" w:sz="0" w:space="0" w:color="auto"/>
        <w:left w:val="none" w:sz="0" w:space="0" w:color="auto"/>
        <w:bottom w:val="none" w:sz="0" w:space="0" w:color="auto"/>
        <w:right w:val="none" w:sz="0" w:space="0" w:color="auto"/>
      </w:divBdr>
    </w:div>
    <w:div w:id="1648707968">
      <w:bodyDiv w:val="1"/>
      <w:marLeft w:val="0"/>
      <w:marRight w:val="0"/>
      <w:marTop w:val="0"/>
      <w:marBottom w:val="0"/>
      <w:divBdr>
        <w:top w:val="none" w:sz="0" w:space="0" w:color="auto"/>
        <w:left w:val="none" w:sz="0" w:space="0" w:color="auto"/>
        <w:bottom w:val="none" w:sz="0" w:space="0" w:color="auto"/>
        <w:right w:val="none" w:sz="0" w:space="0" w:color="auto"/>
      </w:divBdr>
      <w:divsChild>
        <w:div w:id="914169263">
          <w:marLeft w:val="0"/>
          <w:marRight w:val="0"/>
          <w:marTop w:val="0"/>
          <w:marBottom w:val="0"/>
          <w:divBdr>
            <w:top w:val="none" w:sz="0" w:space="0" w:color="auto"/>
            <w:left w:val="none" w:sz="0" w:space="0" w:color="auto"/>
            <w:bottom w:val="none" w:sz="0" w:space="0" w:color="auto"/>
            <w:right w:val="none" w:sz="0" w:space="0" w:color="auto"/>
          </w:divBdr>
        </w:div>
      </w:divsChild>
    </w:div>
    <w:div w:id="1667325601">
      <w:bodyDiv w:val="1"/>
      <w:marLeft w:val="45"/>
      <w:marRight w:val="45"/>
      <w:marTop w:val="45"/>
      <w:marBottom w:val="45"/>
      <w:divBdr>
        <w:top w:val="none" w:sz="0" w:space="0" w:color="auto"/>
        <w:left w:val="none" w:sz="0" w:space="0" w:color="auto"/>
        <w:bottom w:val="none" w:sz="0" w:space="0" w:color="auto"/>
        <w:right w:val="none" w:sz="0" w:space="0" w:color="auto"/>
      </w:divBdr>
      <w:divsChild>
        <w:div w:id="412893428">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861770916">
      <w:bodyDiv w:val="1"/>
      <w:marLeft w:val="45"/>
      <w:marRight w:val="45"/>
      <w:marTop w:val="45"/>
      <w:marBottom w:val="45"/>
      <w:divBdr>
        <w:top w:val="none" w:sz="0" w:space="0" w:color="auto"/>
        <w:left w:val="none" w:sz="0" w:space="0" w:color="auto"/>
        <w:bottom w:val="none" w:sz="0" w:space="0" w:color="auto"/>
        <w:right w:val="none" w:sz="0" w:space="0" w:color="auto"/>
      </w:divBdr>
      <w:divsChild>
        <w:div w:id="580681149">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09913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E4DFA-94B8-4D36-92A1-7A0B99719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9</Pages>
  <Words>3831</Words>
  <Characters>22824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CAP Prostate TURP Cancer Protocol</vt:lpstr>
    </vt:vector>
  </TitlesOfParts>
  <Company>College of American Pathologists</Company>
  <LinksUpToDate>false</LinksUpToDate>
  <CharactersWithSpaces>26602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Prostate TURP Cancer Protocol</dc:title>
  <dc:subject>Cancer Protocols</dc:subject>
  <dc:creator>College of American Pathologists</dc:creator>
  <cp:lastModifiedBy>Elaine Haney (s)</cp:lastModifiedBy>
  <cp:revision>19</cp:revision>
  <cp:lastPrinted>2018-08-20T15:26:00Z</cp:lastPrinted>
  <dcterms:created xsi:type="dcterms:W3CDTF">2018-11-02T20:34:00Z</dcterms:created>
  <dcterms:modified xsi:type="dcterms:W3CDTF">2019-02-20T19:45:00Z</dcterms:modified>
</cp:coreProperties>
</file>